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brand"/>
        <w:bidi w:val="0"/>
        <w:spacing w:before="120" w:after="200"/>
        <w:jc w:val="start"/>
        <w:rPr/>
      </w:pPr>
      <w:r>
        <w:rPr/>
        <w:t>TALOSAI</w:t>
      </w:r>
    </w:p>
    <w:p>
      <w:pPr>
        <w:pStyle w:val="Heading1"/>
        <w:bidi w:val="0"/>
        <w:jc w:val="start"/>
        <w:rPr/>
      </w:pPr>
      <w:r>
        <w:rPr/>
        <w:t>Talosai Case Study: China’s Real Estate Crisis and Prolonged Property-Sector Adjustment</w:t>
      </w:r>
    </w:p>
    <w:p>
      <w:pPr>
        <w:pStyle w:val="BodyText"/>
        <w:bidi w:val="0"/>
        <w:jc w:val="start"/>
        <w:rPr/>
      </w:pPr>
      <w:r>
        <w:rPr/>
        <w:drawing>
          <wp:inline distT="0" distB="0" distL="0" distR="0">
            <wp:extent cx="6035040" cy="3108960"/>
            <wp:effectExtent l="0" t="0" r="0" b="0"/>
            <wp:docPr id="1" name="Image1" descr="" title="Cover imag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Cover image placeholder"/>
                    <pic:cNvPicPr>
                      <a:picLocks noChangeAspect="1" noChangeArrowheads="1"/>
                    </pic:cNvPicPr>
                  </pic:nvPicPr>
                  <pic:blipFill>
                    <a:blip r:embed="rId2"/>
                    <a:srcRect l="-63" t="-112" r="-63" b="-112"/>
                    <a:stretch>
                      <a:fillRect/>
                    </a:stretch>
                  </pic:blipFill>
                  <pic:spPr bwMode="auto">
                    <a:xfrm>
                      <a:off x="0" y="0"/>
                      <a:ext cx="6035040" cy="3108960"/>
                    </a:xfrm>
                    <a:prstGeom prst="rect">
                      <a:avLst/>
                    </a:prstGeom>
                    <a:ln>
                      <a:solidFill>
                        <a:srgbClr val="91A3AA"/>
                      </a:solidFill>
                    </a:ln>
                  </pic:spPr>
                </pic:pic>
              </a:graphicData>
            </a:graphic>
          </wp:inline>
        </w:drawing>
      </w:r>
      <w:r>
        <w:rPr/>
        <w:t xml:space="preserve"> </w:t>
      </w:r>
    </w:p>
    <w:p>
      <w:pPr>
        <w:pStyle w:val="BodyTextbyline"/>
        <w:bidi w:val="0"/>
        <w:jc w:val="start"/>
        <w:rPr/>
      </w:pPr>
      <w:r>
        <w:rPr/>
        <w:t>Prepared by Mr. Terry M. Rauch II, MBA, LLM</w:t>
      </w:r>
    </w:p>
    <w:p>
      <w:pPr>
        <w:pStyle w:val="BodyTextdraft"/>
        <w:bidi w:val="0"/>
        <w:jc w:val="start"/>
        <w:rPr/>
      </w:pPr>
      <w:r>
        <w:rPr/>
        <w:t>Public Release Version — Design Final · Historical Talosai Data Integration Pending</w:t>
      </w:r>
    </w:p>
    <w:p>
      <w:pPr>
        <w:pStyle w:val="BodyTextwindow"/>
        <w:bidi w:val="0"/>
        <w:jc w:val="start"/>
        <w:rPr/>
      </w:pPr>
      <w:r>
        <w:rPr/>
        <w:t>Suggested analytical window: August 2020–May 2024 (confirm against available Talosai archives)</w:t>
      </w:r>
      <w:r>
        <w:br w:type="page"/>
      </w:r>
    </w:p>
    <w:p>
      <w:pPr>
        <w:pStyle w:val="BodyTextrunningtitle"/>
        <w:bidi w:val="0"/>
        <w:jc w:val="start"/>
        <w:rPr/>
      </w:pPr>
      <w:r>
        <w:rPr/>
        <w:t>TALOSAI CASE STUDY · PUBLIC RELEASE MANUSCRIPT</w:t>
      </w:r>
    </w:p>
    <w:p>
      <w:pPr>
        <w:pStyle w:val="BodyTextnotice"/>
        <w:bidi w:val="0"/>
        <w:jc w:val="start"/>
        <w:rPr/>
      </w:pPr>
      <w:r>
        <w:rPr>
          <w:b/>
        </w:rPr>
        <w:t>Editorial status:</w:t>
      </w:r>
      <w:r>
        <w:rPr/>
        <w:t xml:space="preserve"> This document provides researched narrative text, event anchors, analytical questions, decision guidance, and source references. It intentionally does not invent Talosai scores, lead times, correlations, forecast bands, or chart results. Bracketed fields must be completed from archived Talosai outputs before public release.</w:t>
      </w:r>
    </w:p>
    <w:p>
      <w:pPr>
        <w:pStyle w:val="Heading2"/>
        <w:bidi w:val="0"/>
        <w:jc w:val="start"/>
        <w:rPr/>
      </w:pPr>
      <w:r>
        <w:rPr/>
        <w:t>Bottom line</w:t>
      </w:r>
    </w:p>
    <w:p>
      <w:pPr>
        <w:pStyle w:val="BodyText"/>
        <w:bidi w:val="0"/>
        <w:jc w:val="start"/>
        <w:rPr/>
      </w:pPr>
      <w:r>
        <w:rPr/>
        <w:t>This manuscript treats China’s property downturn as a slow-moving systemic-risk case rather than a single-day shock. The validation question is whether Talosai could show the progression from policy-driven deleveraging and developer distress to weaker homebuyer confidence, falling construction, local-government revenue pressure, financial spillover, and repeated policy response—while distinguishing chronic structural adjustment from acute crisis waves.</w:t>
      </w:r>
    </w:p>
    <w:tbl>
      <w:tblPr>
        <w:tblW w:w="10082" w:type="dxa"/>
        <w:jc w:val="start"/>
        <w:tblInd w:w="0" w:type="dxa"/>
        <w:tblLayout w:type="fixed"/>
        <w:tblCellMar>
          <w:top w:w="28" w:type="dxa"/>
          <w:start w:w="28" w:type="dxa"/>
          <w:bottom w:w="28" w:type="dxa"/>
          <w:end w:w="28" w:type="dxa"/>
        </w:tblCellMar>
      </w:tblPr>
      <w:tblGrid>
        <w:gridCol w:w="3226"/>
        <w:gridCol w:w="6856"/>
      </w:tblGrid>
      <w:tr>
        <w:trPr>
          <w:tblHeader w:val="true"/>
        </w:trPr>
        <w:tc>
          <w:tcPr>
            <w:tcW w:w="3226" w:type="dxa"/>
            <w:tcBorders/>
            <w:vAlign w:val="center"/>
          </w:tcPr>
          <w:p>
            <w:pPr>
              <w:pStyle w:val="TableHeading"/>
              <w:suppressLineNumbers/>
              <w:shd w:fill="133B4A" w:val="clear"/>
              <w:bidi w:val="0"/>
              <w:spacing w:before="120" w:after="120"/>
              <w:jc w:val="start"/>
              <w:rPr/>
            </w:pPr>
            <w:r>
              <w:rPr/>
              <w:t>Metric slot</w:t>
            </w:r>
          </w:p>
        </w:tc>
        <w:tc>
          <w:tcPr>
            <w:tcW w:w="6856" w:type="dxa"/>
            <w:tcBorders/>
            <w:vAlign w:val="center"/>
          </w:tcPr>
          <w:p>
            <w:pPr>
              <w:pStyle w:val="TableHeading"/>
              <w:suppressLineNumbers/>
              <w:shd w:fill="133B4A" w:val="clear"/>
              <w:bidi w:val="0"/>
              <w:spacing w:before="120" w:after="120"/>
              <w:jc w:val="start"/>
              <w:rPr/>
            </w:pPr>
            <w:r>
              <w:rPr/>
              <w:t>Required insertion</w:t>
            </w:r>
          </w:p>
        </w:tc>
      </w:tr>
      <w:tr>
        <w:trPr/>
        <w:tc>
          <w:tcPr>
            <w:tcW w:w="3226" w:type="dxa"/>
            <w:tcBorders/>
            <w:vAlign w:val="center"/>
          </w:tcPr>
          <w:p>
            <w:pPr>
              <w:pStyle w:val="TableContents"/>
              <w:bidi w:val="0"/>
              <w:spacing w:before="120" w:after="120"/>
              <w:jc w:val="start"/>
              <w:rPr/>
            </w:pPr>
            <w:r>
              <w:rPr/>
              <w:t>Earliest defensible warning</w:t>
            </w:r>
          </w:p>
        </w:tc>
        <w:tc>
          <w:tcPr>
            <w:tcW w:w="6856" w:type="dxa"/>
            <w:tcBorders/>
            <w:vAlign w:val="center"/>
          </w:tcPr>
          <w:p>
            <w:pPr>
              <w:pStyle w:val="TableContents"/>
              <w:bidi w:val="0"/>
              <w:spacing w:before="120" w:after="120"/>
              <w:jc w:val="start"/>
              <w:rPr/>
            </w:pPr>
            <w:r>
              <w:rPr/>
              <w:t>[TALOSAI DATA REQUIRED: date, signal state, and verified lead time]</w:t>
            </w:r>
          </w:p>
        </w:tc>
      </w:tr>
      <w:tr>
        <w:trPr/>
        <w:tc>
          <w:tcPr>
            <w:tcW w:w="3226" w:type="dxa"/>
            <w:tcBorders/>
            <w:vAlign w:val="center"/>
          </w:tcPr>
          <w:p>
            <w:pPr>
              <w:pStyle w:val="TableContents"/>
              <w:bidi w:val="0"/>
              <w:spacing w:before="120" w:after="120"/>
              <w:jc w:val="start"/>
              <w:rPr/>
            </w:pPr>
            <w:r>
              <w:rPr/>
              <w:t>Peak integrated risk</w:t>
            </w:r>
          </w:p>
        </w:tc>
        <w:tc>
          <w:tcPr>
            <w:tcW w:w="6856" w:type="dxa"/>
            <w:tcBorders/>
            <w:vAlign w:val="center"/>
          </w:tcPr>
          <w:p>
            <w:pPr>
              <w:pStyle w:val="TableContents"/>
              <w:bidi w:val="0"/>
              <w:spacing w:before="120" w:after="120"/>
              <w:jc w:val="start"/>
              <w:rPr/>
            </w:pPr>
            <w:r>
              <w:rPr/>
              <w:t>[TALOSAI DATA REQUIRED: value and date]</w:t>
            </w:r>
          </w:p>
        </w:tc>
      </w:tr>
      <w:tr>
        <w:trPr/>
        <w:tc>
          <w:tcPr>
            <w:tcW w:w="3226" w:type="dxa"/>
            <w:tcBorders/>
            <w:vAlign w:val="center"/>
          </w:tcPr>
          <w:p>
            <w:pPr>
              <w:pStyle w:val="TableContents"/>
              <w:bidi w:val="0"/>
              <w:spacing w:before="120" w:after="120"/>
              <w:jc w:val="start"/>
              <w:rPr/>
            </w:pPr>
            <w:r>
              <w:rPr/>
              <w:t>Strongest confirming stream</w:t>
            </w:r>
          </w:p>
        </w:tc>
        <w:tc>
          <w:tcPr>
            <w:tcW w:w="6856" w:type="dxa"/>
            <w:tcBorders/>
            <w:vAlign w:val="center"/>
          </w:tcPr>
          <w:p>
            <w:pPr>
              <w:pStyle w:val="TableContents"/>
              <w:bidi w:val="0"/>
              <w:spacing w:before="120" w:after="120"/>
              <w:jc w:val="start"/>
              <w:rPr/>
            </w:pPr>
            <w:r>
              <w:rPr/>
              <w:t>[TALOSAI DATA REQUIRED: stream, value, and date]</w:t>
            </w:r>
          </w:p>
        </w:tc>
      </w:tr>
      <w:tr>
        <w:trPr/>
        <w:tc>
          <w:tcPr>
            <w:tcW w:w="3226" w:type="dxa"/>
            <w:tcBorders/>
            <w:vAlign w:val="center"/>
          </w:tcPr>
          <w:p>
            <w:pPr>
              <w:pStyle w:val="TableContents"/>
              <w:bidi w:val="0"/>
              <w:spacing w:before="120" w:after="120"/>
              <w:jc w:val="start"/>
              <w:rPr/>
            </w:pPr>
            <w:r>
              <w:rPr/>
              <w:t>Strongest convergence finding</w:t>
            </w:r>
          </w:p>
        </w:tc>
        <w:tc>
          <w:tcPr>
            <w:tcW w:w="6856" w:type="dxa"/>
            <w:tcBorders/>
            <w:vAlign w:val="center"/>
          </w:tcPr>
          <w:p>
            <w:pPr>
              <w:pStyle w:val="TableContents"/>
              <w:bidi w:val="0"/>
              <w:spacing w:before="120" w:after="120"/>
              <w:jc w:val="start"/>
              <w:rPr/>
            </w:pPr>
            <w:r>
              <w:rPr/>
              <w:t>[TALOSAI DATA REQUIRED: domains/correlation and tested window]</w:t>
            </w:r>
          </w:p>
        </w:tc>
      </w:tr>
    </w:tbl>
    <w:p>
      <w:pPr>
        <w:pStyle w:val="Heading2"/>
        <w:bidi w:val="0"/>
        <w:jc w:val="start"/>
        <w:rPr/>
      </w:pPr>
      <w:r>
        <w:rPr/>
        <w:t>Executive Summary</w:t>
      </w:r>
    </w:p>
    <w:p>
      <w:pPr>
        <w:pStyle w:val="BodyText"/>
        <w:numPr>
          <w:ilvl w:val="0"/>
          <w:numId w:val="1"/>
        </w:numPr>
        <w:tabs>
          <w:tab w:val="clear" w:pos="1134"/>
          <w:tab w:val="left" w:pos="829" w:leader="none"/>
        </w:tabs>
        <w:bidi w:val="0"/>
        <w:spacing w:before="120" w:after="0"/>
        <w:ind w:hanging="283" w:start="829"/>
        <w:jc w:val="start"/>
        <w:rPr/>
      </w:pPr>
      <w:r>
        <w:rPr/>
        <w:t>China’s property sector had become a major driver of economic activity, household wealth, developer borrowing, and local-government land revenue. The International Monetary Fund estimated that real estate accounted for as much as 20 percent of economic activity.</w:t>
      </w:r>
    </w:p>
    <w:p>
      <w:pPr>
        <w:pStyle w:val="BodyText"/>
        <w:numPr>
          <w:ilvl w:val="0"/>
          <w:numId w:val="1"/>
        </w:numPr>
        <w:tabs>
          <w:tab w:val="clear" w:pos="1134"/>
          <w:tab w:val="left" w:pos="829" w:leader="none"/>
        </w:tabs>
        <w:bidi w:val="0"/>
        <w:spacing w:before="120" w:after="0"/>
        <w:ind w:hanging="283" w:start="829"/>
        <w:jc w:val="start"/>
        <w:rPr/>
      </w:pPr>
      <w:r>
        <w:rPr/>
        <w:t>The 2020 ‘three red lines’ policy sought to constrain developer leverage. By the second half of 2021, major developer distress and the Evergrande liquidity crisis intensified concerns about debt repayment and completion of presold homes.</w:t>
      </w:r>
    </w:p>
    <w:p>
      <w:pPr>
        <w:pStyle w:val="BodyText"/>
        <w:numPr>
          <w:ilvl w:val="0"/>
          <w:numId w:val="1"/>
        </w:numPr>
        <w:tabs>
          <w:tab w:val="clear" w:pos="1134"/>
          <w:tab w:val="left" w:pos="829" w:leader="none"/>
        </w:tabs>
        <w:bidi w:val="0"/>
        <w:spacing w:before="120" w:after="0"/>
        <w:ind w:hanging="283" w:start="829"/>
        <w:jc w:val="start"/>
        <w:rPr/>
      </w:pPr>
      <w:r>
        <w:rPr/>
        <w:t>The downturn persisted through 2022 and 2023. Weak sales and presales constrained developer financing, unfinished housing damaged buyer confidence, and stress spread to suppliers, creditors, local-government finance, and the broader growth outlook.</w:t>
      </w:r>
    </w:p>
    <w:p>
      <w:pPr>
        <w:pStyle w:val="BodyText"/>
        <w:numPr>
          <w:ilvl w:val="0"/>
          <w:numId w:val="1"/>
        </w:numPr>
        <w:tabs>
          <w:tab w:val="clear" w:pos="1134"/>
          <w:tab w:val="left" w:pos="829" w:leader="none"/>
        </w:tabs>
        <w:bidi w:val="0"/>
        <w:spacing w:before="120" w:after="0"/>
        <w:ind w:hanging="283" w:start="829"/>
        <w:jc w:val="start"/>
        <w:rPr/>
      </w:pPr>
      <w:r>
        <w:rPr/>
        <w:t>By early 2024, the IMF reported that housing starts had fallen more than 60 percent relative to pre-pandemic levels. Authorities continued to introduce measures aimed at supporting completion, demand, and a transition to a smaller, more sustainable sector.</w:t>
      </w:r>
    </w:p>
    <w:p>
      <w:pPr>
        <w:pStyle w:val="BodyText"/>
        <w:numPr>
          <w:ilvl w:val="0"/>
          <w:numId w:val="1"/>
        </w:numPr>
        <w:tabs>
          <w:tab w:val="clear" w:pos="1134"/>
          <w:tab w:val="left" w:pos="829" w:leader="none"/>
        </w:tabs>
        <w:bidi w:val="0"/>
        <w:ind w:hanging="283" w:start="829"/>
        <w:jc w:val="start"/>
        <w:rPr/>
      </w:pPr>
      <w:r>
        <w:rPr/>
        <w:t>Talosai’s value in this case should be tested through trend persistence, recurring pressure waves, domestic/external narrative differences, financial and public-concern confirmation, and the ability to distinguish temporary policy relief from durable stabilization.</w:t>
      </w:r>
    </w:p>
    <w:p>
      <w:pPr>
        <w:pStyle w:val="Heading2"/>
        <w:bidi w:val="0"/>
        <w:jc w:val="start"/>
        <w:rPr/>
      </w:pPr>
      <w:r>
        <w:rPr/>
        <w:t>Case Context and Validation Objective</w:t>
      </w:r>
    </w:p>
    <w:p>
      <w:pPr>
        <w:pStyle w:val="BodyText"/>
        <w:bidi w:val="0"/>
        <w:jc w:val="start"/>
        <w:rPr/>
      </w:pPr>
      <w:r>
        <w:rPr/>
        <w:t>This is not best framed as an attempt to predict one default date. The property crisis developed through policy changes, financing restrictions, developer distress, stalled construction, falling sales, confidence damage, and repeated interventions.</w:t>
      </w:r>
    </w:p>
    <w:p>
      <w:pPr>
        <w:pStyle w:val="BodyText"/>
        <w:bidi w:val="0"/>
        <w:jc w:val="start"/>
        <w:rPr/>
      </w:pPr>
      <w:r>
        <w:rPr/>
        <w:t>China’s information environment requires careful source interpretation. Domestic reporting may emphasize stabilization measures while external reporting focuses on developer distress and systemic spillover. Divergence itself may be analytically useful.</w:t>
      </w:r>
    </w:p>
    <w:p>
      <w:pPr>
        <w:pStyle w:val="BodyText"/>
        <w:bidi w:val="0"/>
        <w:jc w:val="start"/>
        <w:rPr/>
      </w:pPr>
      <w:r>
        <w:rPr/>
        <w:t>Public-search behavior can indicate buyer confidence, mortgage stress, unfinished homes, falling prices, or concern about developers, but category availability and language coverage must be disclosed.</w:t>
      </w:r>
    </w:p>
    <w:p>
      <w:pPr>
        <w:pStyle w:val="BodyText"/>
        <w:bidi w:val="0"/>
        <w:jc w:val="start"/>
        <w:rPr/>
      </w:pPr>
      <w:r>
        <w:rPr/>
        <w:t>Financial pressure should be interpreted broadly. Direct developer-market data, equity and bond indicators, banking exposure, local-government finance, and macroeconomic proxies may be more relevant than a single currency measure.</w:t>
      </w:r>
    </w:p>
    <w:p>
      <w:pPr>
        <w:pStyle w:val="BodyText"/>
        <w:bidi w:val="0"/>
        <w:jc w:val="start"/>
        <w:rPr/>
      </w:pPr>
      <w:r>
        <w:rPr/>
        <w:t>The final Talosai case should identify distinct waves and show whether independent signals normalize together after policy support. A brief improvement in one stream should not be described as resolution if inventories, construction, confidence, or developer solvency remain stressed.</w:t>
      </w:r>
    </w:p>
    <w:p>
      <w:pPr>
        <w:pStyle w:val="BodyTextemphasis"/>
        <w:bidi w:val="0"/>
        <w:jc w:val="start"/>
        <w:rPr/>
      </w:pPr>
      <w:r>
        <w:rPr/>
        <w:t>The public-release conclusion should be selected only after the archived data are reviewed. Three outcomes are acceptable: (1) supported advance warning, (2) near-event detection and rapid confirmation, or (3) a calibrated null finding in which Talosai did not materially lead the event but improved interpretation and response after it began. This discipline makes the case study credible.</w:t>
      </w:r>
    </w:p>
    <w:p>
      <w:pPr>
        <w:pStyle w:val="Heading2"/>
        <w:bidi w:val="0"/>
        <w:jc w:val="start"/>
        <w:rPr/>
      </w:pPr>
      <w:r>
        <w:rPr/>
        <w:t>Why This Distinguishes Talosai</w:t>
      </w:r>
    </w:p>
    <w:p>
      <w:pPr>
        <w:pStyle w:val="BodyText"/>
        <w:bidi w:val="0"/>
        <w:jc w:val="start"/>
        <w:rPr/>
      </w:pPr>
      <w:r>
        <w:rPr/>
        <w:t>Talosai’s intended differentiator is not a larger list of headlines. It is the ability to place independent signal streams in relation to historical baselines and to one another, identify when their direction or reliability changes, and translate those changes into a decision posture. The case should answer the following questions without disclosing proprietary scoring mechanics.</w:t>
      </w:r>
    </w:p>
    <w:tbl>
      <w:tblPr>
        <w:tblW w:w="13638" w:type="dxa"/>
        <w:jc w:val="start"/>
        <w:tblInd w:w="0" w:type="dxa"/>
        <w:tblLayout w:type="fixed"/>
        <w:tblCellMar>
          <w:top w:w="28" w:type="dxa"/>
          <w:start w:w="28" w:type="dxa"/>
          <w:bottom w:w="28" w:type="dxa"/>
          <w:end w:w="28" w:type="dxa"/>
        </w:tblCellMar>
      </w:tblPr>
      <w:tblGrid>
        <w:gridCol w:w="2567"/>
        <w:gridCol w:w="4017"/>
        <w:gridCol w:w="7054"/>
      </w:tblGrid>
      <w:tr>
        <w:trPr>
          <w:tblHeader w:val="true"/>
        </w:trPr>
        <w:tc>
          <w:tcPr>
            <w:tcW w:w="2567" w:type="dxa"/>
            <w:tcBorders/>
            <w:vAlign w:val="center"/>
          </w:tcPr>
          <w:p>
            <w:pPr>
              <w:pStyle w:val="TableHeading"/>
              <w:suppressLineNumbers/>
              <w:shd w:fill="133B4A" w:val="clear"/>
              <w:bidi w:val="0"/>
              <w:spacing w:before="120" w:after="120"/>
              <w:jc w:val="start"/>
              <w:rPr/>
            </w:pPr>
            <w:r>
              <w:rPr/>
              <w:t>Risk-intelligence question</w:t>
            </w:r>
          </w:p>
        </w:tc>
        <w:tc>
          <w:tcPr>
            <w:tcW w:w="4017" w:type="dxa"/>
            <w:tcBorders/>
            <w:vAlign w:val="center"/>
          </w:tcPr>
          <w:p>
            <w:pPr>
              <w:pStyle w:val="TableHeading"/>
              <w:suppressLineNumbers/>
              <w:shd w:fill="133B4A" w:val="clear"/>
              <w:bidi w:val="0"/>
              <w:spacing w:before="120" w:after="120"/>
              <w:jc w:val="start"/>
              <w:rPr/>
            </w:pPr>
            <w:r>
              <w:rPr/>
              <w:t>Typical monitoring</w:t>
            </w:r>
          </w:p>
        </w:tc>
        <w:tc>
          <w:tcPr>
            <w:tcW w:w="7054" w:type="dxa"/>
            <w:tcBorders/>
            <w:vAlign w:val="center"/>
          </w:tcPr>
          <w:p>
            <w:pPr>
              <w:pStyle w:val="TableHeading"/>
              <w:suppressLineNumbers/>
              <w:shd w:fill="133B4A" w:val="clear"/>
              <w:bidi w:val="0"/>
              <w:spacing w:before="120" w:after="120"/>
              <w:jc w:val="start"/>
              <w:rPr/>
            </w:pPr>
            <w:r>
              <w:rPr/>
              <w:t>Talosai output to validate</w:t>
            </w:r>
          </w:p>
        </w:tc>
      </w:tr>
      <w:tr>
        <w:trPr/>
        <w:tc>
          <w:tcPr>
            <w:tcW w:w="2567" w:type="dxa"/>
            <w:tcBorders/>
            <w:vAlign w:val="center"/>
          </w:tcPr>
          <w:p>
            <w:pPr>
              <w:pStyle w:val="TableContents"/>
              <w:bidi w:val="0"/>
              <w:spacing w:before="120" w:after="120"/>
              <w:jc w:val="start"/>
              <w:rPr/>
            </w:pPr>
            <w:r>
              <w:rPr/>
              <w:t>Is there coverage?</w:t>
            </w:r>
          </w:p>
        </w:tc>
        <w:tc>
          <w:tcPr>
            <w:tcW w:w="4017" w:type="dxa"/>
            <w:tcBorders/>
            <w:vAlign w:val="center"/>
          </w:tcPr>
          <w:p>
            <w:pPr>
              <w:pStyle w:val="TableContents"/>
              <w:bidi w:val="0"/>
              <w:spacing w:before="120" w:after="120"/>
              <w:jc w:val="start"/>
              <w:rPr/>
            </w:pPr>
            <w:r>
              <w:rPr/>
              <w:t>Lists articles or incidents.</w:t>
            </w:r>
          </w:p>
        </w:tc>
        <w:tc>
          <w:tcPr>
            <w:tcW w:w="7054" w:type="dxa"/>
            <w:tcBorders/>
            <w:vAlign w:val="center"/>
          </w:tcPr>
          <w:p>
            <w:pPr>
              <w:pStyle w:val="TableContents"/>
              <w:bidi w:val="0"/>
              <w:spacing w:before="120" w:after="120"/>
              <w:jc w:val="start"/>
              <w:rPr/>
            </w:pPr>
            <w:r>
              <w:rPr/>
              <w:t>Measures whether pressure is abnormal, accelerating, or broadening relative to historical and country-specific baselines.</w:t>
            </w:r>
          </w:p>
        </w:tc>
      </w:tr>
      <w:tr>
        <w:trPr/>
        <w:tc>
          <w:tcPr>
            <w:tcW w:w="2567" w:type="dxa"/>
            <w:tcBorders/>
            <w:vAlign w:val="center"/>
          </w:tcPr>
          <w:p>
            <w:pPr>
              <w:pStyle w:val="TableContents"/>
              <w:bidi w:val="0"/>
              <w:spacing w:before="120" w:after="120"/>
              <w:jc w:val="start"/>
              <w:rPr/>
            </w:pPr>
            <w:r>
              <w:rPr/>
              <w:t>Is the situation worsening?</w:t>
            </w:r>
          </w:p>
        </w:tc>
        <w:tc>
          <w:tcPr>
            <w:tcW w:w="4017" w:type="dxa"/>
            <w:tcBorders/>
            <w:vAlign w:val="center"/>
          </w:tcPr>
          <w:p>
            <w:pPr>
              <w:pStyle w:val="TableContents"/>
              <w:bidi w:val="0"/>
              <w:spacing w:before="120" w:after="120"/>
              <w:jc w:val="start"/>
              <w:rPr/>
            </w:pPr>
            <w:r>
              <w:rPr/>
              <w:t>Depends on analyst interpretation of headlines.</w:t>
            </w:r>
          </w:p>
        </w:tc>
        <w:tc>
          <w:tcPr>
            <w:tcW w:w="7054" w:type="dxa"/>
            <w:tcBorders/>
            <w:vAlign w:val="center"/>
          </w:tcPr>
          <w:p>
            <w:pPr>
              <w:pStyle w:val="TableContents"/>
              <w:bidi w:val="0"/>
              <w:spacing w:before="120" w:after="120"/>
              <w:jc w:val="start"/>
              <w:rPr/>
            </w:pPr>
            <w:r>
              <w:rPr/>
              <w:t>Quantifies direction, momentum, persistence, and rate of change across independent signal streams.</w:t>
            </w:r>
          </w:p>
        </w:tc>
      </w:tr>
      <w:tr>
        <w:trPr/>
        <w:tc>
          <w:tcPr>
            <w:tcW w:w="2567" w:type="dxa"/>
            <w:tcBorders/>
            <w:vAlign w:val="center"/>
          </w:tcPr>
          <w:p>
            <w:pPr>
              <w:pStyle w:val="TableContents"/>
              <w:bidi w:val="0"/>
              <w:spacing w:before="120" w:after="120"/>
              <w:jc w:val="start"/>
              <w:rPr/>
            </w:pPr>
            <w:r>
              <w:rPr/>
              <w:t>Is the risk isolated or systemic?</w:t>
            </w:r>
          </w:p>
        </w:tc>
        <w:tc>
          <w:tcPr>
            <w:tcW w:w="4017" w:type="dxa"/>
            <w:tcBorders/>
            <w:vAlign w:val="center"/>
          </w:tcPr>
          <w:p>
            <w:pPr>
              <w:pStyle w:val="TableContents"/>
              <w:bidi w:val="0"/>
              <w:spacing w:before="120" w:after="120"/>
              <w:jc w:val="start"/>
              <w:rPr/>
            </w:pPr>
            <w:r>
              <w:rPr/>
              <w:t>Often treats political, social, market, and security categories separately.</w:t>
            </w:r>
          </w:p>
        </w:tc>
        <w:tc>
          <w:tcPr>
            <w:tcW w:w="7054" w:type="dxa"/>
            <w:tcBorders/>
            <w:vAlign w:val="center"/>
          </w:tcPr>
          <w:p>
            <w:pPr>
              <w:pStyle w:val="TableContents"/>
              <w:bidi w:val="0"/>
              <w:spacing w:before="120" w:after="120"/>
              <w:jc w:val="start"/>
              <w:rPr/>
            </w:pPr>
            <w:r>
              <w:rPr/>
              <w:t>Tests convergence, divergence, and lead-lag relationships across narrative, public-concern, financial, and domain indicators.</w:t>
            </w:r>
          </w:p>
        </w:tc>
      </w:tr>
      <w:tr>
        <w:trPr/>
        <w:tc>
          <w:tcPr>
            <w:tcW w:w="2567" w:type="dxa"/>
            <w:tcBorders/>
            <w:vAlign w:val="center"/>
          </w:tcPr>
          <w:p>
            <w:pPr>
              <w:pStyle w:val="TableContents"/>
              <w:bidi w:val="0"/>
              <w:spacing w:before="120" w:after="120"/>
              <w:jc w:val="start"/>
              <w:rPr/>
            </w:pPr>
            <w:r>
              <w:rPr/>
              <w:t>When should decisions change?</w:t>
            </w:r>
          </w:p>
        </w:tc>
        <w:tc>
          <w:tcPr>
            <w:tcW w:w="4017" w:type="dxa"/>
            <w:tcBorders/>
            <w:vAlign w:val="center"/>
          </w:tcPr>
          <w:p>
            <w:pPr>
              <w:pStyle w:val="TableContents"/>
              <w:bidi w:val="0"/>
              <w:spacing w:before="120" w:after="120"/>
              <w:jc w:val="start"/>
              <w:rPr/>
            </w:pPr>
            <w:r>
              <w:rPr/>
              <w:t>Often becomes clearest after disruption is visible.</w:t>
            </w:r>
          </w:p>
        </w:tc>
        <w:tc>
          <w:tcPr>
            <w:tcW w:w="7054" w:type="dxa"/>
            <w:tcBorders/>
            <w:vAlign w:val="center"/>
          </w:tcPr>
          <w:p>
            <w:pPr>
              <w:pStyle w:val="TableContents"/>
              <w:bidi w:val="0"/>
              <w:spacing w:before="120" w:after="120"/>
              <w:jc w:val="start"/>
              <w:rPr/>
            </w:pPr>
            <w:r>
              <w:rPr/>
              <w:t>Supports staged posture changes—monitor, watch, alert, critical warning, and continuity execution.</w:t>
            </w:r>
          </w:p>
        </w:tc>
      </w:tr>
      <w:tr>
        <w:trPr/>
        <w:tc>
          <w:tcPr>
            <w:tcW w:w="2567" w:type="dxa"/>
            <w:tcBorders/>
            <w:vAlign w:val="center"/>
          </w:tcPr>
          <w:p>
            <w:pPr>
              <w:pStyle w:val="TableContents"/>
              <w:bidi w:val="0"/>
              <w:spacing w:before="120" w:after="120"/>
              <w:jc w:val="start"/>
              <w:rPr/>
            </w:pPr>
            <w:r>
              <w:rPr/>
              <w:t>What should be done?</w:t>
            </w:r>
          </w:p>
        </w:tc>
        <w:tc>
          <w:tcPr>
            <w:tcW w:w="4017" w:type="dxa"/>
            <w:tcBorders/>
            <w:vAlign w:val="center"/>
          </w:tcPr>
          <w:p>
            <w:pPr>
              <w:pStyle w:val="TableContents"/>
              <w:bidi w:val="0"/>
              <w:spacing w:before="120" w:after="120"/>
              <w:jc w:val="start"/>
              <w:rPr/>
            </w:pPr>
            <w:r>
              <w:rPr/>
              <w:t>May leave response design to the reader.</w:t>
            </w:r>
          </w:p>
        </w:tc>
        <w:tc>
          <w:tcPr>
            <w:tcW w:w="7054" w:type="dxa"/>
            <w:tcBorders/>
            <w:vAlign w:val="center"/>
          </w:tcPr>
          <w:p>
            <w:pPr>
              <w:pStyle w:val="TableContents"/>
              <w:bidi w:val="0"/>
              <w:spacing w:before="120" w:after="120"/>
              <w:jc w:val="start"/>
              <w:rPr/>
            </w:pPr>
            <w:r>
              <w:rPr/>
              <w:t>Connects the observed signal state to monitoring cadence, exposure review, contingency triggers, communications, and continuity actions.</w:t>
            </w:r>
          </w:p>
        </w:tc>
      </w:tr>
    </w:tbl>
    <w:p>
      <w:pPr>
        <w:pStyle w:val="Heading2"/>
        <w:bidi w:val="0"/>
        <w:jc w:val="start"/>
        <w:rPr/>
      </w:pPr>
      <w:r>
        <w:rPr/>
        <w:t>Reference Crisis Timeline</w:t>
      </w:r>
    </w:p>
    <w:p>
      <w:pPr>
        <w:pStyle w:val="BodyText"/>
        <w:bidi w:val="0"/>
        <w:jc w:val="start"/>
        <w:rPr/>
      </w:pPr>
      <w:r>
        <w:rPr/>
        <w:t>These event anchors provide the comparison framework for the archived Talosai outputs. They are not substitutes for the outputs and should not be used to backfill a prediction. Weekly data should be aligned to the nearest available as-of date, with the timing limitation stated explicitly.</w:t>
      </w:r>
    </w:p>
    <w:tbl>
      <w:tblPr>
        <w:tblW w:w="13638" w:type="dxa"/>
        <w:jc w:val="start"/>
        <w:tblInd w:w="0" w:type="dxa"/>
        <w:tblLayout w:type="fixed"/>
        <w:tblCellMar>
          <w:top w:w="28" w:type="dxa"/>
          <w:start w:w="28" w:type="dxa"/>
          <w:bottom w:w="28" w:type="dxa"/>
          <w:end w:w="28" w:type="dxa"/>
        </w:tblCellMar>
      </w:tblPr>
      <w:tblGrid>
        <w:gridCol w:w="1423"/>
        <w:gridCol w:w="3140"/>
        <w:gridCol w:w="9075"/>
      </w:tblGrid>
      <w:tr>
        <w:trPr>
          <w:tblHeader w:val="true"/>
        </w:trPr>
        <w:tc>
          <w:tcPr>
            <w:tcW w:w="1423" w:type="dxa"/>
            <w:tcBorders/>
            <w:vAlign w:val="center"/>
          </w:tcPr>
          <w:p>
            <w:pPr>
              <w:pStyle w:val="TableHeading"/>
              <w:suppressLineNumbers/>
              <w:shd w:fill="133B4A" w:val="clear"/>
              <w:bidi w:val="0"/>
              <w:spacing w:before="120" w:after="120"/>
              <w:jc w:val="start"/>
              <w:rPr/>
            </w:pPr>
            <w:r>
              <w:rPr/>
              <w:t>Date/window</w:t>
            </w:r>
          </w:p>
        </w:tc>
        <w:tc>
          <w:tcPr>
            <w:tcW w:w="3140" w:type="dxa"/>
            <w:tcBorders/>
            <w:vAlign w:val="center"/>
          </w:tcPr>
          <w:p>
            <w:pPr>
              <w:pStyle w:val="TableHeading"/>
              <w:suppressLineNumbers/>
              <w:shd w:fill="133B4A" w:val="clear"/>
              <w:bidi w:val="0"/>
              <w:spacing w:before="120" w:after="120"/>
              <w:jc w:val="start"/>
              <w:rPr/>
            </w:pPr>
            <w:r>
              <w:rPr/>
              <w:t>Milestone</w:t>
            </w:r>
          </w:p>
        </w:tc>
        <w:tc>
          <w:tcPr>
            <w:tcW w:w="9075" w:type="dxa"/>
            <w:tcBorders/>
            <w:vAlign w:val="center"/>
          </w:tcPr>
          <w:p>
            <w:pPr>
              <w:pStyle w:val="TableHeading"/>
              <w:suppressLineNumbers/>
              <w:shd w:fill="133B4A" w:val="clear"/>
              <w:bidi w:val="0"/>
              <w:spacing w:before="120" w:after="120"/>
              <w:jc w:val="start"/>
              <w:rPr/>
            </w:pPr>
            <w:r>
              <w:rPr/>
              <w:t>Analytical use</w:t>
            </w:r>
          </w:p>
        </w:tc>
      </w:tr>
      <w:tr>
        <w:trPr/>
        <w:tc>
          <w:tcPr>
            <w:tcW w:w="1423" w:type="dxa"/>
            <w:tcBorders/>
            <w:vAlign w:val="center"/>
          </w:tcPr>
          <w:p>
            <w:pPr>
              <w:pStyle w:val="TableContents"/>
              <w:bidi w:val="0"/>
              <w:spacing w:before="120" w:after="120"/>
              <w:jc w:val="start"/>
              <w:rPr/>
            </w:pPr>
            <w:r>
              <w:rPr/>
              <w:t>Aug. 2020</w:t>
            </w:r>
          </w:p>
        </w:tc>
        <w:tc>
          <w:tcPr>
            <w:tcW w:w="3140" w:type="dxa"/>
            <w:tcBorders/>
            <w:vAlign w:val="center"/>
          </w:tcPr>
          <w:p>
            <w:pPr>
              <w:pStyle w:val="TableContents"/>
              <w:bidi w:val="0"/>
              <w:spacing w:before="120" w:after="120"/>
              <w:jc w:val="start"/>
              <w:rPr/>
            </w:pPr>
            <w:r>
              <w:rPr/>
              <w:t>Deleveraging policy shift</w:t>
            </w:r>
          </w:p>
        </w:tc>
        <w:tc>
          <w:tcPr>
            <w:tcW w:w="9075" w:type="dxa"/>
            <w:tcBorders/>
            <w:vAlign w:val="center"/>
          </w:tcPr>
          <w:p>
            <w:pPr>
              <w:pStyle w:val="TableContents"/>
              <w:bidi w:val="0"/>
              <w:spacing w:before="120" w:after="120"/>
              <w:jc w:val="start"/>
              <w:rPr/>
            </w:pPr>
            <w:r>
              <w:rPr/>
              <w:t>Authorities introduced the ‘three red lines’ framework constraining developer leverage.</w:t>
            </w:r>
          </w:p>
        </w:tc>
      </w:tr>
      <w:tr>
        <w:trPr/>
        <w:tc>
          <w:tcPr>
            <w:tcW w:w="1423" w:type="dxa"/>
            <w:tcBorders/>
            <w:vAlign w:val="center"/>
          </w:tcPr>
          <w:p>
            <w:pPr>
              <w:pStyle w:val="TableContents"/>
              <w:bidi w:val="0"/>
              <w:spacing w:before="120" w:after="120"/>
              <w:jc w:val="start"/>
              <w:rPr/>
            </w:pPr>
            <w:r>
              <w:rPr/>
              <w:t>Jan. 2021</w:t>
            </w:r>
          </w:p>
        </w:tc>
        <w:tc>
          <w:tcPr>
            <w:tcW w:w="3140" w:type="dxa"/>
            <w:tcBorders/>
            <w:vAlign w:val="center"/>
          </w:tcPr>
          <w:p>
            <w:pPr>
              <w:pStyle w:val="TableContents"/>
              <w:bidi w:val="0"/>
              <w:spacing w:before="120" w:after="120"/>
              <w:jc w:val="start"/>
              <w:rPr/>
            </w:pPr>
            <w:r>
              <w:rPr/>
              <w:t>Property-lending concentration rules</w:t>
            </w:r>
          </w:p>
        </w:tc>
        <w:tc>
          <w:tcPr>
            <w:tcW w:w="9075" w:type="dxa"/>
            <w:tcBorders/>
            <w:vAlign w:val="center"/>
          </w:tcPr>
          <w:p>
            <w:pPr>
              <w:pStyle w:val="TableContents"/>
              <w:bidi w:val="0"/>
              <w:spacing w:before="120" w:after="120"/>
              <w:jc w:val="start"/>
              <w:rPr/>
            </w:pPr>
            <w:r>
              <w:rPr/>
              <w:t>Additional limits on banks’ property-related lending reinforced the transition.</w:t>
            </w:r>
          </w:p>
        </w:tc>
      </w:tr>
      <w:tr>
        <w:trPr/>
        <w:tc>
          <w:tcPr>
            <w:tcW w:w="1423" w:type="dxa"/>
            <w:tcBorders/>
            <w:vAlign w:val="center"/>
          </w:tcPr>
          <w:p>
            <w:pPr>
              <w:pStyle w:val="TableContents"/>
              <w:bidi w:val="0"/>
              <w:spacing w:before="120" w:after="120"/>
              <w:jc w:val="start"/>
              <w:rPr/>
            </w:pPr>
            <w:r>
              <w:rPr/>
              <w:t>Mid–Sep. 2021</w:t>
            </w:r>
          </w:p>
        </w:tc>
        <w:tc>
          <w:tcPr>
            <w:tcW w:w="3140" w:type="dxa"/>
            <w:tcBorders/>
            <w:vAlign w:val="center"/>
          </w:tcPr>
          <w:p>
            <w:pPr>
              <w:pStyle w:val="TableContents"/>
              <w:bidi w:val="0"/>
              <w:spacing w:before="120" w:after="120"/>
              <w:jc w:val="start"/>
              <w:rPr/>
            </w:pPr>
            <w:r>
              <w:rPr/>
              <w:t>Evergrande liquidity crisis</w:t>
            </w:r>
          </w:p>
        </w:tc>
        <w:tc>
          <w:tcPr>
            <w:tcW w:w="9075" w:type="dxa"/>
            <w:tcBorders/>
            <w:vAlign w:val="center"/>
          </w:tcPr>
          <w:p>
            <w:pPr>
              <w:pStyle w:val="TableContents"/>
              <w:bidi w:val="0"/>
              <w:spacing w:before="120" w:after="120"/>
              <w:jc w:val="start"/>
              <w:rPr/>
            </w:pPr>
            <w:r>
              <w:rPr/>
              <w:t>Debt-payment concerns intensified; market and public confidence deteriorated.</w:t>
            </w:r>
          </w:p>
        </w:tc>
      </w:tr>
      <w:tr>
        <w:trPr/>
        <w:tc>
          <w:tcPr>
            <w:tcW w:w="1423" w:type="dxa"/>
            <w:tcBorders/>
            <w:vAlign w:val="center"/>
          </w:tcPr>
          <w:p>
            <w:pPr>
              <w:pStyle w:val="TableContents"/>
              <w:bidi w:val="0"/>
              <w:spacing w:before="120" w:after="120"/>
              <w:jc w:val="start"/>
              <w:rPr/>
            </w:pPr>
            <w:r>
              <w:rPr/>
              <w:t>Jul. 2022</w:t>
            </w:r>
          </w:p>
        </w:tc>
        <w:tc>
          <w:tcPr>
            <w:tcW w:w="3140" w:type="dxa"/>
            <w:tcBorders/>
            <w:vAlign w:val="center"/>
          </w:tcPr>
          <w:p>
            <w:pPr>
              <w:pStyle w:val="TableContents"/>
              <w:bidi w:val="0"/>
              <w:spacing w:before="120" w:after="120"/>
              <w:jc w:val="start"/>
              <w:rPr/>
            </w:pPr>
            <w:r>
              <w:rPr/>
              <w:t>Unfinished-home response</w:t>
            </w:r>
          </w:p>
        </w:tc>
        <w:tc>
          <w:tcPr>
            <w:tcW w:w="9075" w:type="dxa"/>
            <w:tcBorders/>
            <w:vAlign w:val="center"/>
          </w:tcPr>
          <w:p>
            <w:pPr>
              <w:pStyle w:val="TableContents"/>
              <w:bidi w:val="0"/>
              <w:spacing w:before="120" w:after="120"/>
              <w:jc w:val="start"/>
              <w:rPr/>
            </w:pPr>
            <w:r>
              <w:rPr/>
              <w:t>Authorities emphasized delivery of homes and protection of homebuyers amid concern about incomplete presold units.</w:t>
            </w:r>
          </w:p>
        </w:tc>
      </w:tr>
      <w:tr>
        <w:trPr/>
        <w:tc>
          <w:tcPr>
            <w:tcW w:w="1423" w:type="dxa"/>
            <w:tcBorders/>
            <w:vAlign w:val="center"/>
          </w:tcPr>
          <w:p>
            <w:pPr>
              <w:pStyle w:val="TableContents"/>
              <w:bidi w:val="0"/>
              <w:spacing w:before="120" w:after="120"/>
              <w:jc w:val="start"/>
              <w:rPr/>
            </w:pPr>
            <w:r>
              <w:rPr/>
              <w:t>Nov. 2022</w:t>
            </w:r>
          </w:p>
        </w:tc>
        <w:tc>
          <w:tcPr>
            <w:tcW w:w="3140" w:type="dxa"/>
            <w:tcBorders/>
            <w:vAlign w:val="center"/>
          </w:tcPr>
          <w:p>
            <w:pPr>
              <w:pStyle w:val="TableContents"/>
              <w:bidi w:val="0"/>
              <w:spacing w:before="120" w:after="120"/>
              <w:jc w:val="start"/>
              <w:rPr/>
            </w:pPr>
            <w:r>
              <w:rPr/>
              <w:t>Policy support package</w:t>
            </w:r>
          </w:p>
        </w:tc>
        <w:tc>
          <w:tcPr>
            <w:tcW w:w="9075" w:type="dxa"/>
            <w:tcBorders/>
            <w:vAlign w:val="center"/>
          </w:tcPr>
          <w:p>
            <w:pPr>
              <w:pStyle w:val="TableContents"/>
              <w:bidi w:val="0"/>
              <w:spacing w:before="120" w:after="120"/>
              <w:jc w:val="start"/>
              <w:rPr/>
            </w:pPr>
            <w:r>
              <w:rPr/>
              <w:t>A sixteen-point financial support package sought to ease property-sector stress.</w:t>
            </w:r>
          </w:p>
        </w:tc>
      </w:tr>
      <w:tr>
        <w:trPr/>
        <w:tc>
          <w:tcPr>
            <w:tcW w:w="1423" w:type="dxa"/>
            <w:tcBorders/>
            <w:vAlign w:val="center"/>
          </w:tcPr>
          <w:p>
            <w:pPr>
              <w:pStyle w:val="TableContents"/>
              <w:bidi w:val="0"/>
              <w:spacing w:before="120" w:after="120"/>
              <w:jc w:val="start"/>
              <w:rPr/>
            </w:pPr>
            <w:r>
              <w:rPr/>
              <w:t>Aug. 2023</w:t>
            </w:r>
          </w:p>
        </w:tc>
        <w:tc>
          <w:tcPr>
            <w:tcW w:w="3140" w:type="dxa"/>
            <w:tcBorders/>
            <w:vAlign w:val="center"/>
          </w:tcPr>
          <w:p>
            <w:pPr>
              <w:pStyle w:val="TableContents"/>
              <w:bidi w:val="0"/>
              <w:spacing w:before="120" w:after="120"/>
              <w:jc w:val="start"/>
              <w:rPr/>
            </w:pPr>
            <w:r>
              <w:rPr/>
              <w:t>Country Garden distress</w:t>
            </w:r>
          </w:p>
        </w:tc>
        <w:tc>
          <w:tcPr>
            <w:tcW w:w="9075" w:type="dxa"/>
            <w:tcBorders/>
            <w:vAlign w:val="center"/>
          </w:tcPr>
          <w:p>
            <w:pPr>
              <w:pStyle w:val="TableContents"/>
              <w:bidi w:val="0"/>
              <w:spacing w:before="120" w:after="120"/>
              <w:jc w:val="start"/>
              <w:rPr/>
            </w:pPr>
            <w:r>
              <w:rPr/>
              <w:t>A major private developer warned of substantial losses, renewing concern that stress extended beyond the most visibly troubled firms.</w:t>
            </w:r>
          </w:p>
        </w:tc>
      </w:tr>
      <w:tr>
        <w:trPr/>
        <w:tc>
          <w:tcPr>
            <w:tcW w:w="1423" w:type="dxa"/>
            <w:tcBorders/>
            <w:vAlign w:val="center"/>
          </w:tcPr>
          <w:p>
            <w:pPr>
              <w:pStyle w:val="TableContents"/>
              <w:bidi w:val="0"/>
              <w:spacing w:before="120" w:after="120"/>
              <w:jc w:val="start"/>
              <w:rPr/>
            </w:pPr>
            <w:r>
              <w:rPr/>
              <w:t>Feb. 2024</w:t>
            </w:r>
          </w:p>
        </w:tc>
        <w:tc>
          <w:tcPr>
            <w:tcW w:w="3140" w:type="dxa"/>
            <w:tcBorders/>
            <w:vAlign w:val="center"/>
          </w:tcPr>
          <w:p>
            <w:pPr>
              <w:pStyle w:val="TableContents"/>
              <w:bidi w:val="0"/>
              <w:spacing w:before="120" w:after="120"/>
              <w:jc w:val="start"/>
              <w:rPr/>
            </w:pPr>
            <w:r>
              <w:rPr/>
              <w:t>IMF structural assessment</w:t>
            </w:r>
          </w:p>
        </w:tc>
        <w:tc>
          <w:tcPr>
            <w:tcW w:w="9075" w:type="dxa"/>
            <w:tcBorders/>
            <w:vAlign w:val="center"/>
          </w:tcPr>
          <w:p>
            <w:pPr>
              <w:pStyle w:val="TableContents"/>
              <w:bidi w:val="0"/>
              <w:spacing w:before="120" w:after="120"/>
              <w:jc w:val="start"/>
              <w:rPr/>
            </w:pPr>
            <w:r>
              <w:rPr/>
              <w:t>The IMF described a third year of downturn, with housing starts more than 60 percent below pre-pandemic levels.</w:t>
            </w:r>
          </w:p>
        </w:tc>
      </w:tr>
      <w:tr>
        <w:trPr/>
        <w:tc>
          <w:tcPr>
            <w:tcW w:w="1423" w:type="dxa"/>
            <w:tcBorders/>
            <w:vAlign w:val="center"/>
          </w:tcPr>
          <w:p>
            <w:pPr>
              <w:pStyle w:val="TableContents"/>
              <w:bidi w:val="0"/>
              <w:spacing w:before="120" w:after="120"/>
              <w:jc w:val="start"/>
              <w:rPr/>
            </w:pPr>
            <w:r>
              <w:rPr/>
              <w:t>May 2024</w:t>
            </w:r>
          </w:p>
        </w:tc>
        <w:tc>
          <w:tcPr>
            <w:tcW w:w="3140" w:type="dxa"/>
            <w:tcBorders/>
            <w:vAlign w:val="center"/>
          </w:tcPr>
          <w:p>
            <w:pPr>
              <w:pStyle w:val="TableContents"/>
              <w:bidi w:val="0"/>
              <w:spacing w:before="120" w:after="120"/>
              <w:jc w:val="start"/>
              <w:rPr/>
            </w:pPr>
            <w:r>
              <w:rPr/>
              <w:t>Additional housing support</w:t>
            </w:r>
          </w:p>
        </w:tc>
        <w:tc>
          <w:tcPr>
            <w:tcW w:w="9075" w:type="dxa"/>
            <w:tcBorders/>
            <w:vAlign w:val="center"/>
          </w:tcPr>
          <w:p>
            <w:pPr>
              <w:pStyle w:val="TableContents"/>
              <w:bidi w:val="0"/>
              <w:spacing w:before="120" w:after="120"/>
              <w:jc w:val="start"/>
              <w:rPr/>
            </w:pPr>
            <w:r>
              <w:rPr/>
              <w:t>Authorities announced measures including lower down-payment requirements and changes to mortgage-rate policy.</w:t>
            </w:r>
          </w:p>
        </w:tc>
      </w:tr>
    </w:tbl>
    <w:p>
      <w:pPr>
        <w:pStyle w:val="Heading2"/>
        <w:bidi w:val="0"/>
        <w:jc w:val="start"/>
        <w:rPr/>
      </w:pPr>
      <w:r>
        <w:rPr/>
        <w:t>Proposed Performance Timeline</w:t>
      </w:r>
    </w:p>
    <w:tbl>
      <w:tblPr>
        <w:tblW w:w="13638" w:type="dxa"/>
        <w:jc w:val="start"/>
        <w:tblInd w:w="0" w:type="dxa"/>
        <w:tblLayout w:type="fixed"/>
        <w:tblCellMar>
          <w:top w:w="28" w:type="dxa"/>
          <w:start w:w="28" w:type="dxa"/>
          <w:bottom w:w="28" w:type="dxa"/>
          <w:end w:w="28" w:type="dxa"/>
        </w:tblCellMar>
      </w:tblPr>
      <w:tblGrid>
        <w:gridCol w:w="1289"/>
        <w:gridCol w:w="1853"/>
        <w:gridCol w:w="8292"/>
        <w:gridCol w:w="2204"/>
      </w:tblGrid>
      <w:tr>
        <w:trPr>
          <w:tblHeader w:val="true"/>
        </w:trPr>
        <w:tc>
          <w:tcPr>
            <w:tcW w:w="1289" w:type="dxa"/>
            <w:tcBorders/>
            <w:vAlign w:val="center"/>
          </w:tcPr>
          <w:p>
            <w:pPr>
              <w:pStyle w:val="TableHeading"/>
              <w:suppressLineNumbers/>
              <w:shd w:fill="133B4A" w:val="clear"/>
              <w:bidi w:val="0"/>
              <w:spacing w:before="120" w:after="120"/>
              <w:jc w:val="start"/>
              <w:rPr/>
            </w:pPr>
            <w:r>
              <w:rPr/>
              <w:t>Window</w:t>
            </w:r>
          </w:p>
        </w:tc>
        <w:tc>
          <w:tcPr>
            <w:tcW w:w="1853" w:type="dxa"/>
            <w:tcBorders/>
            <w:vAlign w:val="center"/>
          </w:tcPr>
          <w:p>
            <w:pPr>
              <w:pStyle w:val="TableHeading"/>
              <w:suppressLineNumbers/>
              <w:shd w:fill="133B4A" w:val="clear"/>
              <w:bidi w:val="0"/>
              <w:spacing w:before="120" w:after="120"/>
              <w:jc w:val="start"/>
              <w:rPr/>
            </w:pPr>
            <w:r>
              <w:rPr/>
              <w:t>Lead time / signal state</w:t>
            </w:r>
          </w:p>
        </w:tc>
        <w:tc>
          <w:tcPr>
            <w:tcW w:w="8292" w:type="dxa"/>
            <w:tcBorders/>
            <w:vAlign w:val="center"/>
          </w:tcPr>
          <w:p>
            <w:pPr>
              <w:pStyle w:val="TableHeading"/>
              <w:suppressLineNumbers/>
              <w:shd w:fill="133B4A" w:val="clear"/>
              <w:bidi w:val="0"/>
              <w:spacing w:before="120" w:after="120"/>
              <w:jc w:val="start"/>
              <w:rPr/>
            </w:pPr>
            <w:r>
              <w:rPr/>
              <w:t>What Talosai output must show</w:t>
            </w:r>
          </w:p>
        </w:tc>
        <w:tc>
          <w:tcPr>
            <w:tcW w:w="2204" w:type="dxa"/>
            <w:tcBorders/>
            <w:vAlign w:val="center"/>
          </w:tcPr>
          <w:p>
            <w:pPr>
              <w:pStyle w:val="TableHeading"/>
              <w:suppressLineNumbers/>
              <w:shd w:fill="133B4A" w:val="clear"/>
              <w:bidi w:val="0"/>
              <w:spacing w:before="120" w:after="120"/>
              <w:jc w:val="start"/>
              <w:rPr/>
            </w:pPr>
            <w:r>
              <w:rPr/>
              <w:t>Decision value</w:t>
            </w:r>
          </w:p>
        </w:tc>
      </w:tr>
      <w:tr>
        <w:trPr/>
        <w:tc>
          <w:tcPr>
            <w:tcW w:w="1289" w:type="dxa"/>
            <w:tcBorders/>
            <w:vAlign w:val="center"/>
          </w:tcPr>
          <w:p>
            <w:pPr>
              <w:pStyle w:val="TableContents"/>
              <w:bidi w:val="0"/>
              <w:spacing w:before="120" w:after="120"/>
              <w:jc w:val="start"/>
              <w:rPr/>
            </w:pPr>
            <w:r>
              <w:rPr/>
              <w:t>Aug. 2020</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Deleveraging policy shift. Authorities introduced the ‘three red lines’ framework constraining developer leverage.</w:t>
            </w:r>
          </w:p>
        </w:tc>
        <w:tc>
          <w:tcPr>
            <w:tcW w:w="2204" w:type="dxa"/>
            <w:tcBorders/>
            <w:vAlign w:val="center"/>
          </w:tcPr>
          <w:p>
            <w:pPr>
              <w:pStyle w:val="TableContents"/>
              <w:bidi w:val="0"/>
              <w:spacing w:before="120" w:after="120"/>
              <w:jc w:val="start"/>
              <w:rPr/>
            </w:pPr>
            <w:r>
              <w:rPr/>
              <w:t>[DECISION POSTURE TO VALIDATE]</w:t>
            </w:r>
          </w:p>
        </w:tc>
      </w:tr>
      <w:tr>
        <w:trPr/>
        <w:tc>
          <w:tcPr>
            <w:tcW w:w="1289" w:type="dxa"/>
            <w:tcBorders/>
            <w:vAlign w:val="center"/>
          </w:tcPr>
          <w:p>
            <w:pPr>
              <w:pStyle w:val="TableContents"/>
              <w:bidi w:val="0"/>
              <w:spacing w:before="120" w:after="120"/>
              <w:jc w:val="start"/>
              <w:rPr/>
            </w:pPr>
            <w:r>
              <w:rPr/>
              <w:t>Jan. 2021</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Property-lending concentration rules. Additional limits on banks’ property-related lending reinforced the transition.</w:t>
            </w:r>
          </w:p>
        </w:tc>
        <w:tc>
          <w:tcPr>
            <w:tcW w:w="2204" w:type="dxa"/>
            <w:tcBorders/>
            <w:vAlign w:val="center"/>
          </w:tcPr>
          <w:p>
            <w:pPr>
              <w:pStyle w:val="TableContents"/>
              <w:bidi w:val="0"/>
              <w:spacing w:before="120" w:after="120"/>
              <w:jc w:val="start"/>
              <w:rPr/>
            </w:pPr>
            <w:r>
              <w:rPr/>
              <w:t>[DECISION POSTURE TO VALIDATE]</w:t>
            </w:r>
          </w:p>
        </w:tc>
      </w:tr>
      <w:tr>
        <w:trPr/>
        <w:tc>
          <w:tcPr>
            <w:tcW w:w="1289" w:type="dxa"/>
            <w:tcBorders/>
            <w:vAlign w:val="center"/>
          </w:tcPr>
          <w:p>
            <w:pPr>
              <w:pStyle w:val="TableContents"/>
              <w:bidi w:val="0"/>
              <w:spacing w:before="120" w:after="120"/>
              <w:jc w:val="start"/>
              <w:rPr/>
            </w:pPr>
            <w:r>
              <w:rPr/>
              <w:t>Mid–Sep. 2021</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Evergrande liquidity crisis. Debt-payment concerns intensified; market and public confidence deteriorated.</w:t>
            </w:r>
          </w:p>
        </w:tc>
        <w:tc>
          <w:tcPr>
            <w:tcW w:w="2204" w:type="dxa"/>
            <w:tcBorders/>
            <w:vAlign w:val="center"/>
          </w:tcPr>
          <w:p>
            <w:pPr>
              <w:pStyle w:val="TableContents"/>
              <w:bidi w:val="0"/>
              <w:spacing w:before="120" w:after="120"/>
              <w:jc w:val="start"/>
              <w:rPr/>
            </w:pPr>
            <w:r>
              <w:rPr/>
              <w:t>[DECISION POSTURE TO VALIDATE]</w:t>
            </w:r>
          </w:p>
        </w:tc>
      </w:tr>
      <w:tr>
        <w:trPr/>
        <w:tc>
          <w:tcPr>
            <w:tcW w:w="1289" w:type="dxa"/>
            <w:tcBorders/>
            <w:vAlign w:val="center"/>
          </w:tcPr>
          <w:p>
            <w:pPr>
              <w:pStyle w:val="TableContents"/>
              <w:bidi w:val="0"/>
              <w:spacing w:before="120" w:after="120"/>
              <w:jc w:val="start"/>
              <w:rPr/>
            </w:pPr>
            <w:r>
              <w:rPr/>
              <w:t>Jul. 2022</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Unfinished-home response. Authorities emphasized delivery of homes and protection of homebuyers amid concern about incomplete presold units.</w:t>
            </w:r>
          </w:p>
        </w:tc>
        <w:tc>
          <w:tcPr>
            <w:tcW w:w="2204" w:type="dxa"/>
            <w:tcBorders/>
            <w:vAlign w:val="center"/>
          </w:tcPr>
          <w:p>
            <w:pPr>
              <w:pStyle w:val="TableContents"/>
              <w:bidi w:val="0"/>
              <w:spacing w:before="120" w:after="120"/>
              <w:jc w:val="start"/>
              <w:rPr/>
            </w:pPr>
            <w:r>
              <w:rPr/>
              <w:t>[DECISION POSTURE TO VALIDATE]</w:t>
            </w:r>
          </w:p>
        </w:tc>
      </w:tr>
      <w:tr>
        <w:trPr/>
        <w:tc>
          <w:tcPr>
            <w:tcW w:w="1289" w:type="dxa"/>
            <w:tcBorders/>
            <w:vAlign w:val="center"/>
          </w:tcPr>
          <w:p>
            <w:pPr>
              <w:pStyle w:val="TableContents"/>
              <w:bidi w:val="0"/>
              <w:spacing w:before="120" w:after="120"/>
              <w:jc w:val="start"/>
              <w:rPr/>
            </w:pPr>
            <w:r>
              <w:rPr/>
              <w:t>Nov. 2022</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Policy support package. A sixteen-point financial support package sought to ease property-sector stress.</w:t>
            </w:r>
          </w:p>
        </w:tc>
        <w:tc>
          <w:tcPr>
            <w:tcW w:w="2204" w:type="dxa"/>
            <w:tcBorders/>
            <w:vAlign w:val="center"/>
          </w:tcPr>
          <w:p>
            <w:pPr>
              <w:pStyle w:val="TableContents"/>
              <w:bidi w:val="0"/>
              <w:spacing w:before="120" w:after="120"/>
              <w:jc w:val="start"/>
              <w:rPr/>
            </w:pPr>
            <w:r>
              <w:rPr/>
              <w:t>[DECISION POSTURE TO VALIDATE]</w:t>
            </w:r>
          </w:p>
        </w:tc>
      </w:tr>
      <w:tr>
        <w:trPr/>
        <w:tc>
          <w:tcPr>
            <w:tcW w:w="1289" w:type="dxa"/>
            <w:tcBorders/>
            <w:vAlign w:val="center"/>
          </w:tcPr>
          <w:p>
            <w:pPr>
              <w:pStyle w:val="TableContents"/>
              <w:bidi w:val="0"/>
              <w:spacing w:before="120" w:after="120"/>
              <w:jc w:val="start"/>
              <w:rPr/>
            </w:pPr>
            <w:r>
              <w:rPr/>
              <w:t>Aug. 2023</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Country Garden distress. A major private developer warned of substantial losses, renewing concern that stress extended beyond the most visibly troubled firms.</w:t>
            </w:r>
          </w:p>
        </w:tc>
        <w:tc>
          <w:tcPr>
            <w:tcW w:w="2204" w:type="dxa"/>
            <w:tcBorders/>
            <w:vAlign w:val="center"/>
          </w:tcPr>
          <w:p>
            <w:pPr>
              <w:pStyle w:val="TableContents"/>
              <w:bidi w:val="0"/>
              <w:spacing w:before="120" w:after="120"/>
              <w:jc w:val="start"/>
              <w:rPr/>
            </w:pPr>
            <w:r>
              <w:rPr/>
              <w:t>[DECISION POSTURE TO VALIDATE]</w:t>
            </w:r>
          </w:p>
        </w:tc>
      </w:tr>
      <w:tr>
        <w:trPr/>
        <w:tc>
          <w:tcPr>
            <w:tcW w:w="1289" w:type="dxa"/>
            <w:tcBorders/>
            <w:vAlign w:val="center"/>
          </w:tcPr>
          <w:p>
            <w:pPr>
              <w:pStyle w:val="TableContents"/>
              <w:bidi w:val="0"/>
              <w:spacing w:before="120" w:after="120"/>
              <w:jc w:val="start"/>
              <w:rPr/>
            </w:pPr>
            <w:r>
              <w:rPr/>
              <w:t>Feb. 2024</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IMF structural assessment. The IMF described a third year of downturn, with housing starts more than 60 percent below pre-pandemic levels.</w:t>
            </w:r>
          </w:p>
        </w:tc>
        <w:tc>
          <w:tcPr>
            <w:tcW w:w="2204" w:type="dxa"/>
            <w:tcBorders/>
            <w:vAlign w:val="center"/>
          </w:tcPr>
          <w:p>
            <w:pPr>
              <w:pStyle w:val="TableContents"/>
              <w:bidi w:val="0"/>
              <w:spacing w:before="120" w:after="120"/>
              <w:jc w:val="start"/>
              <w:rPr/>
            </w:pPr>
            <w:r>
              <w:rPr/>
              <w:t>[DECISION POSTURE TO VALIDATE]</w:t>
            </w:r>
          </w:p>
        </w:tc>
      </w:tr>
      <w:tr>
        <w:trPr/>
        <w:tc>
          <w:tcPr>
            <w:tcW w:w="1289" w:type="dxa"/>
            <w:tcBorders/>
            <w:vAlign w:val="center"/>
          </w:tcPr>
          <w:p>
            <w:pPr>
              <w:pStyle w:val="TableContents"/>
              <w:bidi w:val="0"/>
              <w:spacing w:before="120" w:after="120"/>
              <w:jc w:val="start"/>
              <w:rPr/>
            </w:pPr>
            <w:r>
              <w:rPr/>
              <w:t>May 2024</w:t>
            </w:r>
          </w:p>
        </w:tc>
        <w:tc>
          <w:tcPr>
            <w:tcW w:w="1853" w:type="dxa"/>
            <w:tcBorders/>
            <w:vAlign w:val="center"/>
          </w:tcPr>
          <w:p>
            <w:pPr>
              <w:pStyle w:val="TableContents"/>
              <w:bidi w:val="0"/>
              <w:spacing w:before="120" w:after="120"/>
              <w:jc w:val="start"/>
              <w:rPr/>
            </w:pPr>
            <w:r>
              <w:rPr/>
              <w:t>[TALOSAI DATA REQUIRED]</w:t>
            </w:r>
          </w:p>
        </w:tc>
        <w:tc>
          <w:tcPr>
            <w:tcW w:w="8292" w:type="dxa"/>
            <w:tcBorders/>
            <w:vAlign w:val="center"/>
          </w:tcPr>
          <w:p>
            <w:pPr>
              <w:pStyle w:val="TableContents"/>
              <w:bidi w:val="0"/>
              <w:spacing w:before="120" w:after="120"/>
              <w:jc w:val="start"/>
              <w:rPr/>
            </w:pPr>
            <w:r>
              <w:rPr/>
              <w:t>Compare archived signal state with: Additional housing support. Authorities announced measures including lower down-payment requirements and changes to mortgage-rate policy.</w:t>
            </w:r>
          </w:p>
        </w:tc>
        <w:tc>
          <w:tcPr>
            <w:tcW w:w="2204" w:type="dxa"/>
            <w:tcBorders/>
            <w:vAlign w:val="center"/>
          </w:tcPr>
          <w:p>
            <w:pPr>
              <w:pStyle w:val="TableContents"/>
              <w:bidi w:val="0"/>
              <w:spacing w:before="120" w:after="120"/>
              <w:jc w:val="start"/>
              <w:rPr/>
            </w:pPr>
            <w:r>
              <w:rPr/>
              <w:t>[DECISION POSTURE TO VALIDATE]</w:t>
            </w:r>
          </w:p>
        </w:tc>
      </w:tr>
    </w:tbl>
    <w:p>
      <w:pPr>
        <w:pStyle w:val="Heading2"/>
        <w:bidi w:val="0"/>
        <w:jc w:val="start"/>
        <w:rPr/>
      </w:pPr>
      <w:r>
        <w:rPr/>
        <w:t>Visual Evidence: Output-Level Figures</w:t>
      </w:r>
    </w:p>
    <w:p>
      <w:pPr>
        <w:pStyle w:val="BodyText"/>
        <w:bidi w:val="0"/>
        <w:jc w:val="start"/>
        <w:rPr/>
      </w:pPr>
      <w:r>
        <w:rPr/>
        <w:t>Replace each placeholder with an exported Talosai chart using the same as-of data retained for the quantitative tables. Captions should state only what the figure visibly supports.</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1 placeholder.</w:t>
      </w:r>
      <w:r>
        <w:rPr>
          <w:bdr w:val="dashed" w:sz="6" w:space="10" w:color="8299A2"/>
          <w:shd w:fill="F7F9FA" w:val="clear"/>
        </w:rPr>
        <w:t xml:space="preserve"> Integrated Talosai risk across the selected 2020–2024 window, annotated with major policy and developer events.</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2 placeholder.</w:t>
      </w:r>
      <w:r>
        <w:rPr>
          <w:bdr w:val="dashed" w:sz="6" w:space="10" w:color="8299A2"/>
          <w:shd w:fill="F7F9FA" w:val="clear"/>
        </w:rPr>
        <w:t xml:space="preserve"> Property/economy, governance, society, and financial narrative outputs.</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3 placeholder.</w:t>
      </w:r>
      <w:r>
        <w:rPr>
          <w:bdr w:val="dashed" w:sz="6" w:space="10" w:color="8299A2"/>
          <w:shd w:fill="F7F9FA" w:val="clear"/>
        </w:rPr>
        <w:t xml:space="preserve"> Domestic versus external narrative share and sentiment divergence.</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4 placeholder.</w:t>
      </w:r>
      <w:r>
        <w:rPr>
          <w:bdr w:val="dashed" w:sz="6" w:space="10" w:color="8299A2"/>
          <w:shd w:fill="F7F9FA" w:val="clear"/>
        </w:rPr>
        <w:t xml:space="preserve"> Public-concern/search behavior related to home prices, developers, mortgages, and unfinished units.</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5 placeholder.</w:t>
      </w:r>
      <w:r>
        <w:rPr>
          <w:bdr w:val="dashed" w:sz="6" w:space="10" w:color="8299A2"/>
          <w:shd w:fill="F7F9FA" w:val="clear"/>
        </w:rPr>
        <w:t xml:space="preserve"> Financial-pressure proxies and developer-market stress indicators.</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6 placeholder.</w:t>
      </w:r>
      <w:r>
        <w:rPr>
          <w:bdr w:val="dashed" w:sz="6" w:space="10" w:color="8299A2"/>
          <w:shd w:fill="F7F9FA" w:val="clear"/>
        </w:rPr>
        <w:t xml:space="preserve"> Cross-domain convergence across the Evergrande, unfinished-home, Country Garden, and 2024 policy windows.</w:t>
        <w:br/>
        <w:t>[INSERT VERIFIED TALOSAI VISUAL AND CAPTION]</w:t>
      </w:r>
    </w:p>
    <w:p>
      <w:pPr>
        <w:pStyle w:val="Heading2"/>
        <w:bidi w:val="0"/>
        <w:jc w:val="start"/>
        <w:rPr/>
      </w:pPr>
      <w:r>
        <w:rPr/>
        <w:t>Performance Against Expected Indicators</w:t>
      </w:r>
    </w:p>
    <w:p>
      <w:pPr>
        <w:pStyle w:val="BodyText"/>
        <w:bidi w:val="0"/>
        <w:jc w:val="start"/>
        <w:rPr/>
      </w:pPr>
      <w:r>
        <w:rPr/>
        <w:t>The table below identifies the expected analytical tests. “Expected” does not mean “observed.” Findings must be changed to strong, moderate, weak, non-confirming, or unavailable only after the underlying output is reviewed.</w:t>
      </w:r>
    </w:p>
    <w:tbl>
      <w:tblPr>
        <w:tblW w:w="13638" w:type="dxa"/>
        <w:jc w:val="start"/>
        <w:tblInd w:w="0" w:type="dxa"/>
        <w:tblLayout w:type="fixed"/>
        <w:tblCellMar>
          <w:top w:w="28" w:type="dxa"/>
          <w:start w:w="28" w:type="dxa"/>
          <w:bottom w:w="28" w:type="dxa"/>
          <w:end w:w="28" w:type="dxa"/>
        </w:tblCellMar>
      </w:tblPr>
      <w:tblGrid>
        <w:gridCol w:w="2690"/>
        <w:gridCol w:w="2397"/>
        <w:gridCol w:w="4913"/>
        <w:gridCol w:w="3638"/>
      </w:tblGrid>
      <w:tr>
        <w:trPr>
          <w:tblHeader w:val="true"/>
        </w:trPr>
        <w:tc>
          <w:tcPr>
            <w:tcW w:w="2690" w:type="dxa"/>
            <w:tcBorders/>
            <w:vAlign w:val="center"/>
          </w:tcPr>
          <w:p>
            <w:pPr>
              <w:pStyle w:val="TableHeading"/>
              <w:suppressLineNumbers/>
              <w:shd w:fill="133B4A" w:val="clear"/>
              <w:bidi w:val="0"/>
              <w:spacing w:before="120" w:after="120"/>
              <w:jc w:val="start"/>
              <w:rPr/>
            </w:pPr>
            <w:r>
              <w:rPr/>
              <w:t>Indicator</w:t>
            </w:r>
          </w:p>
        </w:tc>
        <w:tc>
          <w:tcPr>
            <w:tcW w:w="2397" w:type="dxa"/>
            <w:tcBorders/>
            <w:vAlign w:val="center"/>
          </w:tcPr>
          <w:p>
            <w:pPr>
              <w:pStyle w:val="TableHeading"/>
              <w:suppressLineNumbers/>
              <w:shd w:fill="133B4A" w:val="clear"/>
              <w:bidi w:val="0"/>
              <w:spacing w:before="120" w:after="120"/>
              <w:jc w:val="start"/>
              <w:rPr/>
            </w:pPr>
            <w:r>
              <w:rPr/>
              <w:t>Pre-analysis expectation</w:t>
            </w:r>
          </w:p>
        </w:tc>
        <w:tc>
          <w:tcPr>
            <w:tcW w:w="4913" w:type="dxa"/>
            <w:tcBorders/>
            <w:vAlign w:val="center"/>
          </w:tcPr>
          <w:p>
            <w:pPr>
              <w:pStyle w:val="TableHeading"/>
              <w:suppressLineNumbers/>
              <w:shd w:fill="133B4A" w:val="clear"/>
              <w:bidi w:val="0"/>
              <w:spacing w:before="120" w:after="120"/>
              <w:jc w:val="start"/>
              <w:rPr/>
            </w:pPr>
            <w:r>
              <w:rPr/>
              <w:t>Evidence test</w:t>
            </w:r>
          </w:p>
        </w:tc>
        <w:tc>
          <w:tcPr>
            <w:tcW w:w="3638" w:type="dxa"/>
            <w:tcBorders/>
            <w:vAlign w:val="center"/>
          </w:tcPr>
          <w:p>
            <w:pPr>
              <w:pStyle w:val="TableHeading"/>
              <w:suppressLineNumbers/>
              <w:shd w:fill="133B4A" w:val="clear"/>
              <w:bidi w:val="0"/>
              <w:spacing w:before="120" w:after="120"/>
              <w:jc w:val="start"/>
              <w:rPr/>
            </w:pPr>
            <w:r>
              <w:rPr/>
              <w:t>Potential decision value</w:t>
            </w:r>
          </w:p>
        </w:tc>
      </w:tr>
      <w:tr>
        <w:trPr/>
        <w:tc>
          <w:tcPr>
            <w:tcW w:w="2690" w:type="dxa"/>
            <w:tcBorders/>
            <w:vAlign w:val="center"/>
          </w:tcPr>
          <w:p>
            <w:pPr>
              <w:pStyle w:val="TableContents"/>
              <w:bidi w:val="0"/>
              <w:spacing w:before="120" w:after="120"/>
              <w:jc w:val="start"/>
              <w:rPr/>
            </w:pPr>
            <w:r>
              <w:rPr/>
              <w:t>Developer and financial stress</w:t>
            </w:r>
          </w:p>
        </w:tc>
        <w:tc>
          <w:tcPr>
            <w:tcW w:w="2397" w:type="dxa"/>
            <w:tcBorders/>
            <w:vAlign w:val="center"/>
          </w:tcPr>
          <w:p>
            <w:pPr>
              <w:pStyle w:val="TableContents"/>
              <w:bidi w:val="0"/>
              <w:spacing w:before="120" w:after="120"/>
              <w:jc w:val="start"/>
              <w:rPr/>
            </w:pPr>
            <w:r>
              <w:rPr/>
              <w:t>Expected strong recurring signal</w:t>
            </w:r>
          </w:p>
        </w:tc>
        <w:tc>
          <w:tcPr>
            <w:tcW w:w="4913" w:type="dxa"/>
            <w:tcBorders/>
            <w:vAlign w:val="center"/>
          </w:tcPr>
          <w:p>
            <w:pPr>
              <w:pStyle w:val="TableContents"/>
              <w:bidi w:val="0"/>
              <w:spacing w:before="120" w:after="120"/>
              <w:jc w:val="start"/>
              <w:rPr/>
            </w:pPr>
            <w:r>
              <w:rPr/>
              <w:t>Track developer debt, presales, defaults, bond/equity pressure, creditors, suppliers, and financing access.</w:t>
            </w:r>
          </w:p>
        </w:tc>
        <w:tc>
          <w:tcPr>
            <w:tcW w:w="3638" w:type="dxa"/>
            <w:tcBorders/>
            <w:vAlign w:val="center"/>
          </w:tcPr>
          <w:p>
            <w:pPr>
              <w:pStyle w:val="TableContents"/>
              <w:bidi w:val="0"/>
              <w:spacing w:before="120" w:after="120"/>
              <w:jc w:val="start"/>
              <w:rPr/>
            </w:pPr>
            <w:r>
              <w:rPr/>
              <w:t>Counterparty, portfolio, supplier, and market-exposure review.</w:t>
            </w:r>
          </w:p>
        </w:tc>
      </w:tr>
      <w:tr>
        <w:trPr/>
        <w:tc>
          <w:tcPr>
            <w:tcW w:w="2690" w:type="dxa"/>
            <w:tcBorders/>
            <w:vAlign w:val="center"/>
          </w:tcPr>
          <w:p>
            <w:pPr>
              <w:pStyle w:val="TableContents"/>
              <w:bidi w:val="0"/>
              <w:spacing w:before="120" w:after="120"/>
              <w:jc w:val="start"/>
              <w:rPr/>
            </w:pPr>
            <w:r>
              <w:rPr/>
              <w:t>Homebuyer/public confidence</w:t>
            </w:r>
          </w:p>
        </w:tc>
        <w:tc>
          <w:tcPr>
            <w:tcW w:w="2397" w:type="dxa"/>
            <w:tcBorders/>
            <w:vAlign w:val="center"/>
          </w:tcPr>
          <w:p>
            <w:pPr>
              <w:pStyle w:val="TableContents"/>
              <w:bidi w:val="0"/>
              <w:spacing w:before="120" w:after="120"/>
              <w:jc w:val="start"/>
              <w:rPr/>
            </w:pPr>
            <w:r>
              <w:rPr/>
              <w:t>Expected slow-moving lead or confirmation</w:t>
            </w:r>
          </w:p>
        </w:tc>
        <w:tc>
          <w:tcPr>
            <w:tcW w:w="4913" w:type="dxa"/>
            <w:tcBorders/>
            <w:vAlign w:val="center"/>
          </w:tcPr>
          <w:p>
            <w:pPr>
              <w:pStyle w:val="TableContents"/>
              <w:bidi w:val="0"/>
              <w:spacing w:before="120" w:after="120"/>
              <w:jc w:val="start"/>
              <w:rPr/>
            </w:pPr>
            <w:r>
              <w:rPr/>
              <w:t>Assess searches and narratives concerning home prices, unfinished units, mortgages, developers, and purchase intentions.</w:t>
            </w:r>
          </w:p>
        </w:tc>
        <w:tc>
          <w:tcPr>
            <w:tcW w:w="3638" w:type="dxa"/>
            <w:tcBorders/>
            <w:vAlign w:val="center"/>
          </w:tcPr>
          <w:p>
            <w:pPr>
              <w:pStyle w:val="TableContents"/>
              <w:bidi w:val="0"/>
              <w:spacing w:before="120" w:after="120"/>
              <w:jc w:val="start"/>
              <w:rPr/>
            </w:pPr>
            <w:r>
              <w:rPr/>
              <w:t>Demand and sentiment monitoring; customer and investment decisions.</w:t>
            </w:r>
          </w:p>
        </w:tc>
      </w:tr>
      <w:tr>
        <w:trPr/>
        <w:tc>
          <w:tcPr>
            <w:tcW w:w="2690" w:type="dxa"/>
            <w:tcBorders/>
            <w:vAlign w:val="center"/>
          </w:tcPr>
          <w:p>
            <w:pPr>
              <w:pStyle w:val="TableContents"/>
              <w:bidi w:val="0"/>
              <w:spacing w:before="120" w:after="120"/>
              <w:jc w:val="start"/>
              <w:rPr/>
            </w:pPr>
            <w:r>
              <w:rPr/>
              <w:t>Economic and local-government pressure</w:t>
            </w:r>
          </w:p>
        </w:tc>
        <w:tc>
          <w:tcPr>
            <w:tcW w:w="2397" w:type="dxa"/>
            <w:tcBorders/>
            <w:vAlign w:val="center"/>
          </w:tcPr>
          <w:p>
            <w:pPr>
              <w:pStyle w:val="TableContents"/>
              <w:bidi w:val="0"/>
              <w:spacing w:before="120" w:after="120"/>
              <w:jc w:val="start"/>
              <w:rPr/>
            </w:pPr>
            <w:r>
              <w:rPr/>
              <w:t>Expected broadening signal</w:t>
            </w:r>
          </w:p>
        </w:tc>
        <w:tc>
          <w:tcPr>
            <w:tcW w:w="4913" w:type="dxa"/>
            <w:tcBorders/>
            <w:vAlign w:val="center"/>
          </w:tcPr>
          <w:p>
            <w:pPr>
              <w:pStyle w:val="TableContents"/>
              <w:bidi w:val="0"/>
              <w:spacing w:before="120" w:after="120"/>
              <w:jc w:val="start"/>
              <w:rPr/>
            </w:pPr>
            <w:r>
              <w:rPr/>
              <w:t>Track construction, land sales, local-government revenue, employment, consumption, and growth narratives.</w:t>
            </w:r>
          </w:p>
        </w:tc>
        <w:tc>
          <w:tcPr>
            <w:tcW w:w="3638" w:type="dxa"/>
            <w:tcBorders/>
            <w:vAlign w:val="center"/>
          </w:tcPr>
          <w:p>
            <w:pPr>
              <w:pStyle w:val="TableContents"/>
              <w:bidi w:val="0"/>
              <w:spacing w:before="120" w:after="120"/>
              <w:jc w:val="start"/>
              <w:rPr/>
            </w:pPr>
            <w:r>
              <w:rPr/>
              <w:t>Macro, regional, and fiscal-risk posture.</w:t>
            </w:r>
          </w:p>
        </w:tc>
      </w:tr>
      <w:tr>
        <w:trPr/>
        <w:tc>
          <w:tcPr>
            <w:tcW w:w="2690" w:type="dxa"/>
            <w:tcBorders/>
            <w:vAlign w:val="center"/>
          </w:tcPr>
          <w:p>
            <w:pPr>
              <w:pStyle w:val="TableContents"/>
              <w:bidi w:val="0"/>
              <w:spacing w:before="120" w:after="120"/>
              <w:jc w:val="start"/>
              <w:rPr/>
            </w:pPr>
            <w:r>
              <w:rPr/>
              <w:t>Domestic/external narrative divergence</w:t>
            </w:r>
          </w:p>
        </w:tc>
        <w:tc>
          <w:tcPr>
            <w:tcW w:w="2397" w:type="dxa"/>
            <w:tcBorders/>
            <w:vAlign w:val="center"/>
          </w:tcPr>
          <w:p>
            <w:pPr>
              <w:pStyle w:val="TableContents"/>
              <w:bidi w:val="0"/>
              <w:spacing w:before="120" w:after="120"/>
              <w:jc w:val="start"/>
              <w:rPr/>
            </w:pPr>
            <w:r>
              <w:rPr/>
              <w:t>Core interpretive signal</w:t>
            </w:r>
          </w:p>
        </w:tc>
        <w:tc>
          <w:tcPr>
            <w:tcW w:w="4913" w:type="dxa"/>
            <w:tcBorders/>
            <w:vAlign w:val="center"/>
          </w:tcPr>
          <w:p>
            <w:pPr>
              <w:pStyle w:val="TableContents"/>
              <w:bidi w:val="0"/>
              <w:spacing w:before="120" w:after="120"/>
              <w:jc w:val="start"/>
              <w:rPr/>
            </w:pPr>
            <w:r>
              <w:rPr/>
              <w:t>Compare stress coverage with policy-support and stabilization narratives.</w:t>
            </w:r>
          </w:p>
        </w:tc>
        <w:tc>
          <w:tcPr>
            <w:tcW w:w="3638" w:type="dxa"/>
            <w:tcBorders/>
            <w:vAlign w:val="center"/>
          </w:tcPr>
          <w:p>
            <w:pPr>
              <w:pStyle w:val="TableContents"/>
              <w:bidi w:val="0"/>
              <w:spacing w:before="120" w:after="120"/>
              <w:jc w:val="start"/>
              <w:rPr/>
            </w:pPr>
            <w:r>
              <w:rPr/>
              <w:t>Avoid both alarmism and premature normalization.</w:t>
            </w:r>
          </w:p>
        </w:tc>
      </w:tr>
      <w:tr>
        <w:trPr/>
        <w:tc>
          <w:tcPr>
            <w:tcW w:w="2690" w:type="dxa"/>
            <w:tcBorders/>
            <w:vAlign w:val="center"/>
          </w:tcPr>
          <w:p>
            <w:pPr>
              <w:pStyle w:val="TableContents"/>
              <w:bidi w:val="0"/>
              <w:spacing w:before="120" w:after="120"/>
              <w:jc w:val="start"/>
              <w:rPr/>
            </w:pPr>
            <w:r>
              <w:rPr/>
              <w:t>Policy-response cycles</w:t>
            </w:r>
          </w:p>
        </w:tc>
        <w:tc>
          <w:tcPr>
            <w:tcW w:w="2397" w:type="dxa"/>
            <w:tcBorders/>
            <w:vAlign w:val="center"/>
          </w:tcPr>
          <w:p>
            <w:pPr>
              <w:pStyle w:val="TableContents"/>
              <w:bidi w:val="0"/>
              <w:spacing w:before="120" w:after="120"/>
              <w:jc w:val="start"/>
              <w:rPr/>
            </w:pPr>
            <w:r>
              <w:rPr/>
              <w:t>Expected temporary relief signal</w:t>
            </w:r>
          </w:p>
        </w:tc>
        <w:tc>
          <w:tcPr>
            <w:tcW w:w="4913" w:type="dxa"/>
            <w:tcBorders/>
            <w:vAlign w:val="center"/>
          </w:tcPr>
          <w:p>
            <w:pPr>
              <w:pStyle w:val="TableContents"/>
              <w:bidi w:val="0"/>
              <w:spacing w:before="120" w:after="120"/>
              <w:jc w:val="start"/>
              <w:rPr/>
            </w:pPr>
            <w:r>
              <w:rPr/>
              <w:t>Measure whether easing changes direction, persistence, or convergence across independent streams.</w:t>
            </w:r>
          </w:p>
        </w:tc>
        <w:tc>
          <w:tcPr>
            <w:tcW w:w="3638" w:type="dxa"/>
            <w:tcBorders/>
            <w:vAlign w:val="center"/>
          </w:tcPr>
          <w:p>
            <w:pPr>
              <w:pStyle w:val="TableContents"/>
              <w:bidi w:val="0"/>
              <w:spacing w:before="120" w:after="120"/>
              <w:jc w:val="start"/>
              <w:rPr/>
            </w:pPr>
            <w:r>
              <w:rPr/>
              <w:t>Distinguish tactical stabilization from structural resolution.</w:t>
            </w:r>
          </w:p>
        </w:tc>
      </w:tr>
      <w:tr>
        <w:trPr/>
        <w:tc>
          <w:tcPr>
            <w:tcW w:w="2690" w:type="dxa"/>
            <w:tcBorders/>
            <w:vAlign w:val="center"/>
          </w:tcPr>
          <w:p>
            <w:pPr>
              <w:pStyle w:val="TableContents"/>
              <w:bidi w:val="0"/>
              <w:spacing w:before="120" w:after="120"/>
              <w:jc w:val="start"/>
              <w:rPr/>
            </w:pPr>
            <w:r>
              <w:rPr/>
              <w:t>Cross-domain convergence</w:t>
            </w:r>
          </w:p>
        </w:tc>
        <w:tc>
          <w:tcPr>
            <w:tcW w:w="2397" w:type="dxa"/>
            <w:tcBorders/>
            <w:vAlign w:val="center"/>
          </w:tcPr>
          <w:p>
            <w:pPr>
              <w:pStyle w:val="TableContents"/>
              <w:bidi w:val="0"/>
              <w:spacing w:before="120" w:after="120"/>
              <w:jc w:val="start"/>
              <w:rPr/>
            </w:pPr>
            <w:r>
              <w:rPr/>
              <w:t>Core validation test</w:t>
            </w:r>
          </w:p>
        </w:tc>
        <w:tc>
          <w:tcPr>
            <w:tcW w:w="4913" w:type="dxa"/>
            <w:tcBorders/>
            <w:vAlign w:val="center"/>
          </w:tcPr>
          <w:p>
            <w:pPr>
              <w:pStyle w:val="TableContents"/>
              <w:bidi w:val="0"/>
              <w:spacing w:before="120" w:after="120"/>
              <w:jc w:val="start"/>
              <w:rPr/>
            </w:pPr>
            <w:r>
              <w:rPr/>
              <w:t>Determine when property stress became a wider economy, governance, public-confidence, and financial issue.</w:t>
            </w:r>
          </w:p>
        </w:tc>
        <w:tc>
          <w:tcPr>
            <w:tcW w:w="3638" w:type="dxa"/>
            <w:tcBorders/>
            <w:vAlign w:val="center"/>
          </w:tcPr>
          <w:p>
            <w:pPr>
              <w:pStyle w:val="TableContents"/>
              <w:bidi w:val="0"/>
              <w:spacing w:before="120" w:after="120"/>
              <w:jc w:val="start"/>
              <w:rPr/>
            </w:pPr>
            <w:r>
              <w:rPr/>
              <w:t>Escalate from sector watch to systemic macro-financial posture.</w:t>
            </w:r>
          </w:p>
        </w:tc>
      </w:tr>
    </w:tbl>
    <w:p>
      <w:pPr>
        <w:pStyle w:val="Heading2"/>
        <w:bidi w:val="0"/>
        <w:jc w:val="start"/>
        <w:rPr/>
      </w:pPr>
      <w:r>
        <w:rPr/>
        <w:t>Selected Quantified Evidence</w:t>
      </w:r>
    </w:p>
    <w:p>
      <w:pPr>
        <w:pStyle w:val="BodyText"/>
        <w:bidi w:val="0"/>
        <w:jc w:val="start"/>
        <w:rPr/>
      </w:pPr>
      <w:r>
        <w:rPr/>
        <w:t>Populate this section directly from archived Talosai exports. Retain dates, units, aggregation periods, and any missing-data caveats. Do not use current dashboard values as substitutes for historical as-of outputs.</w:t>
      </w:r>
    </w:p>
    <w:tbl>
      <w:tblPr>
        <w:tblW w:w="11450" w:type="dxa"/>
        <w:jc w:val="start"/>
        <w:tblInd w:w="0" w:type="dxa"/>
        <w:tblLayout w:type="fixed"/>
        <w:tblCellMar>
          <w:top w:w="28" w:type="dxa"/>
          <w:start w:w="28" w:type="dxa"/>
          <w:bottom w:w="28" w:type="dxa"/>
          <w:end w:w="28" w:type="dxa"/>
        </w:tblCellMar>
      </w:tblPr>
      <w:tblGrid>
        <w:gridCol w:w="3271"/>
        <w:gridCol w:w="1771"/>
        <w:gridCol w:w="2401"/>
        <w:gridCol w:w="1771"/>
        <w:gridCol w:w="2236"/>
      </w:tblGrid>
      <w:tr>
        <w:trPr>
          <w:tblHeader w:val="true"/>
        </w:trPr>
        <w:tc>
          <w:tcPr>
            <w:tcW w:w="3271" w:type="dxa"/>
            <w:tcBorders/>
            <w:vAlign w:val="center"/>
          </w:tcPr>
          <w:p>
            <w:pPr>
              <w:pStyle w:val="TableHeading"/>
              <w:suppressLineNumbers/>
              <w:shd w:fill="133B4A" w:val="clear"/>
              <w:bidi w:val="0"/>
              <w:spacing w:before="120" w:after="120"/>
              <w:jc w:val="start"/>
              <w:rPr/>
            </w:pPr>
            <w:r>
              <w:rPr/>
              <w:t>Evidence point</w:t>
            </w:r>
          </w:p>
        </w:tc>
        <w:tc>
          <w:tcPr>
            <w:tcW w:w="1771" w:type="dxa"/>
            <w:tcBorders/>
            <w:vAlign w:val="center"/>
          </w:tcPr>
          <w:p>
            <w:pPr>
              <w:pStyle w:val="TableHeading"/>
              <w:suppressLineNumbers/>
              <w:shd w:fill="133B4A" w:val="clear"/>
              <w:bidi w:val="0"/>
              <w:spacing w:before="120" w:after="120"/>
              <w:jc w:val="start"/>
              <w:rPr/>
            </w:pPr>
            <w:r>
              <w:rPr/>
              <w:t>Baseline</w:t>
            </w:r>
          </w:p>
        </w:tc>
        <w:tc>
          <w:tcPr>
            <w:tcW w:w="2401" w:type="dxa"/>
            <w:tcBorders/>
            <w:vAlign w:val="center"/>
          </w:tcPr>
          <w:p>
            <w:pPr>
              <w:pStyle w:val="TableHeading"/>
              <w:suppressLineNumbers/>
              <w:shd w:fill="133B4A" w:val="clear"/>
              <w:bidi w:val="0"/>
              <w:spacing w:before="120" w:after="120"/>
              <w:jc w:val="start"/>
              <w:rPr/>
            </w:pPr>
            <w:r>
              <w:rPr/>
              <w:t>Watch / early change</w:t>
            </w:r>
          </w:p>
        </w:tc>
        <w:tc>
          <w:tcPr>
            <w:tcW w:w="1771" w:type="dxa"/>
            <w:tcBorders/>
            <w:vAlign w:val="center"/>
          </w:tcPr>
          <w:p>
            <w:pPr>
              <w:pStyle w:val="TableHeading"/>
              <w:suppressLineNumbers/>
              <w:shd w:fill="133B4A" w:val="clear"/>
              <w:bidi w:val="0"/>
              <w:spacing w:before="120" w:after="120"/>
              <w:jc w:val="start"/>
              <w:rPr/>
            </w:pPr>
            <w:r>
              <w:rPr/>
              <w:t>Event window</w:t>
            </w:r>
          </w:p>
        </w:tc>
        <w:tc>
          <w:tcPr>
            <w:tcW w:w="2236" w:type="dxa"/>
            <w:tcBorders/>
            <w:vAlign w:val="center"/>
          </w:tcPr>
          <w:p>
            <w:pPr>
              <w:pStyle w:val="TableHeading"/>
              <w:suppressLineNumbers/>
              <w:shd w:fill="133B4A" w:val="clear"/>
              <w:bidi w:val="0"/>
              <w:spacing w:before="120" w:after="120"/>
              <w:jc w:val="start"/>
              <w:rPr/>
            </w:pPr>
            <w:r>
              <w:rPr/>
              <w:t>Later confirmation</w:t>
            </w:r>
          </w:p>
        </w:tc>
      </w:tr>
      <w:tr>
        <w:trPr/>
        <w:tc>
          <w:tcPr>
            <w:tcW w:w="3271" w:type="dxa"/>
            <w:tcBorders/>
            <w:vAlign w:val="center"/>
          </w:tcPr>
          <w:p>
            <w:pPr>
              <w:pStyle w:val="TableContents"/>
              <w:bidi w:val="0"/>
              <w:spacing w:before="120" w:after="120"/>
              <w:jc w:val="start"/>
              <w:rPr/>
            </w:pPr>
            <w:r>
              <w:rPr/>
              <w:t>Integrated Talosai risk index</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OSINT narrative pressure</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Public concern/search behavior</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Financial/currency pressure</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Domains elevated</w:t>
            </w:r>
          </w:p>
        </w:tc>
        <w:tc>
          <w:tcPr>
            <w:tcW w:w="1771" w:type="dxa"/>
            <w:tcBorders/>
            <w:vAlign w:val="center"/>
          </w:tcPr>
          <w:p>
            <w:pPr>
              <w:pStyle w:val="TableContents"/>
              <w:bidi w:val="0"/>
              <w:spacing w:before="120" w:after="120"/>
              <w:jc w:val="start"/>
              <w:rPr/>
            </w:pPr>
            <w:r>
              <w:rPr/>
              <w:t>[COUNT / DATE]</w:t>
            </w:r>
          </w:p>
        </w:tc>
        <w:tc>
          <w:tcPr>
            <w:tcW w:w="2401" w:type="dxa"/>
            <w:tcBorders/>
            <w:vAlign w:val="center"/>
          </w:tcPr>
          <w:p>
            <w:pPr>
              <w:pStyle w:val="TableContents"/>
              <w:bidi w:val="0"/>
              <w:spacing w:before="120" w:after="120"/>
              <w:jc w:val="start"/>
              <w:rPr/>
            </w:pPr>
            <w:r>
              <w:rPr/>
              <w:t>[COUNT / DATE]</w:t>
            </w:r>
          </w:p>
        </w:tc>
        <w:tc>
          <w:tcPr>
            <w:tcW w:w="1771" w:type="dxa"/>
            <w:tcBorders/>
            <w:vAlign w:val="center"/>
          </w:tcPr>
          <w:p>
            <w:pPr>
              <w:pStyle w:val="TableContents"/>
              <w:bidi w:val="0"/>
              <w:spacing w:before="120" w:after="120"/>
              <w:jc w:val="start"/>
              <w:rPr/>
            </w:pPr>
            <w:r>
              <w:rPr/>
              <w:t>[COUNT / DATE]</w:t>
            </w:r>
          </w:p>
        </w:tc>
        <w:tc>
          <w:tcPr>
            <w:tcW w:w="2236" w:type="dxa"/>
            <w:tcBorders/>
            <w:vAlign w:val="center"/>
          </w:tcPr>
          <w:p>
            <w:pPr>
              <w:pStyle w:val="TableContents"/>
              <w:bidi w:val="0"/>
              <w:spacing w:before="120" w:after="120"/>
              <w:jc w:val="start"/>
              <w:rPr/>
            </w:pPr>
            <w:r>
              <w:rPr/>
              <w:t>[COUNT / DATE]</w:t>
            </w:r>
          </w:p>
        </w:tc>
      </w:tr>
      <w:tr>
        <w:trPr/>
        <w:tc>
          <w:tcPr>
            <w:tcW w:w="3271" w:type="dxa"/>
            <w:tcBorders/>
            <w:vAlign w:val="center"/>
          </w:tcPr>
          <w:p>
            <w:pPr>
              <w:pStyle w:val="TableContents"/>
              <w:bidi w:val="0"/>
              <w:spacing w:before="120" w:after="120"/>
              <w:jc w:val="start"/>
              <w:rPr/>
            </w:pPr>
            <w:r>
              <w:rPr/>
              <w:t>Source visibility / divergence</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bl>
    <w:p>
      <w:pPr>
        <w:pStyle w:val="Heading2"/>
        <w:bidi w:val="0"/>
        <w:jc w:val="start"/>
        <w:rPr/>
      </w:pPr>
      <w:r>
        <w:rPr/>
        <w:t>Validation Against Talosai Differentiator Questions</w:t>
      </w:r>
    </w:p>
    <w:tbl>
      <w:tblPr>
        <w:tblW w:w="13638" w:type="dxa"/>
        <w:jc w:val="start"/>
        <w:tblInd w:w="0" w:type="dxa"/>
        <w:tblLayout w:type="fixed"/>
        <w:tblCellMar>
          <w:top w:w="28" w:type="dxa"/>
          <w:start w:w="28" w:type="dxa"/>
          <w:bottom w:w="28" w:type="dxa"/>
          <w:end w:w="28" w:type="dxa"/>
        </w:tblCellMar>
      </w:tblPr>
      <w:tblGrid>
        <w:gridCol w:w="4455"/>
        <w:gridCol w:w="1733"/>
        <w:gridCol w:w="7450"/>
      </w:tblGrid>
      <w:tr>
        <w:trPr>
          <w:tblHeader w:val="true"/>
        </w:trPr>
        <w:tc>
          <w:tcPr>
            <w:tcW w:w="4455" w:type="dxa"/>
            <w:tcBorders/>
            <w:vAlign w:val="center"/>
          </w:tcPr>
          <w:p>
            <w:pPr>
              <w:pStyle w:val="TableHeading"/>
              <w:suppressLineNumbers/>
              <w:shd w:fill="133B4A" w:val="clear"/>
              <w:bidi w:val="0"/>
              <w:spacing w:before="120" w:after="120"/>
              <w:jc w:val="start"/>
              <w:rPr/>
            </w:pPr>
            <w:r>
              <w:rPr/>
              <w:t>Validation question</w:t>
            </w:r>
          </w:p>
        </w:tc>
        <w:tc>
          <w:tcPr>
            <w:tcW w:w="1733" w:type="dxa"/>
            <w:tcBorders/>
            <w:vAlign w:val="center"/>
          </w:tcPr>
          <w:p>
            <w:pPr>
              <w:pStyle w:val="TableHeading"/>
              <w:suppressLineNumbers/>
              <w:shd w:fill="133B4A" w:val="clear"/>
              <w:bidi w:val="0"/>
              <w:spacing w:before="120" w:after="120"/>
              <w:jc w:val="start"/>
              <w:rPr/>
            </w:pPr>
            <w:r>
              <w:rPr/>
              <w:t>Assessment</w:t>
            </w:r>
          </w:p>
        </w:tc>
        <w:tc>
          <w:tcPr>
            <w:tcW w:w="7450" w:type="dxa"/>
            <w:tcBorders/>
            <w:vAlign w:val="center"/>
          </w:tcPr>
          <w:p>
            <w:pPr>
              <w:pStyle w:val="TableHeading"/>
              <w:suppressLineNumbers/>
              <w:shd w:fill="133B4A" w:val="clear"/>
              <w:bidi w:val="0"/>
              <w:spacing w:before="120" w:after="120"/>
              <w:jc w:val="start"/>
              <w:rPr/>
            </w:pPr>
            <w:r>
              <w:rPr/>
              <w:t>Evidence required before release</w:t>
            </w:r>
          </w:p>
        </w:tc>
      </w:tr>
      <w:tr>
        <w:trPr/>
        <w:tc>
          <w:tcPr>
            <w:tcW w:w="4455" w:type="dxa"/>
            <w:tcBorders/>
            <w:vAlign w:val="center"/>
          </w:tcPr>
          <w:p>
            <w:pPr>
              <w:pStyle w:val="TableContents"/>
              <w:bidi w:val="0"/>
              <w:spacing w:before="120" w:after="120"/>
              <w:jc w:val="start"/>
              <w:rPr/>
            </w:pPr>
            <w:r>
              <w:rPr/>
              <w:t>Did pressure accelerate before the event or crisis state?</w:t>
            </w:r>
          </w:p>
        </w:tc>
        <w:tc>
          <w:tcPr>
            <w:tcW w:w="1733" w:type="dxa"/>
            <w:tcBorders/>
            <w:vAlign w:val="center"/>
          </w:tcPr>
          <w:p>
            <w:pPr>
              <w:pStyle w:val="TableContents"/>
              <w:bidi w:val="0"/>
              <w:spacing w:before="120" w:after="120"/>
              <w:jc w:val="start"/>
              <w:rPr/>
            </w:pPr>
            <w:r>
              <w:rPr/>
              <w:t>[TO DETERMINE]</w:t>
            </w:r>
          </w:p>
        </w:tc>
        <w:tc>
          <w:tcPr>
            <w:tcW w:w="7450" w:type="dxa"/>
            <w:tcBorders/>
            <w:vAlign w:val="center"/>
          </w:tcPr>
          <w:p>
            <w:pPr>
              <w:pStyle w:val="TableContents"/>
              <w:bidi w:val="0"/>
              <w:spacing w:before="120" w:after="120"/>
              <w:jc w:val="start"/>
              <w:rPr/>
            </w:pPr>
            <w:r>
              <w:rPr/>
              <w:t>Archived trend direction, magnitude, and first abnormal as-of date.</w:t>
            </w:r>
          </w:p>
        </w:tc>
      </w:tr>
      <w:tr>
        <w:trPr/>
        <w:tc>
          <w:tcPr>
            <w:tcW w:w="4455" w:type="dxa"/>
            <w:tcBorders/>
            <w:vAlign w:val="center"/>
          </w:tcPr>
          <w:p>
            <w:pPr>
              <w:pStyle w:val="TableContents"/>
              <w:bidi w:val="0"/>
              <w:spacing w:before="120" w:after="120"/>
              <w:jc w:val="start"/>
              <w:rPr/>
            </w:pPr>
            <w:r>
              <w:rPr/>
              <w:t>Did multiple independent domains converge?</w:t>
            </w:r>
          </w:p>
        </w:tc>
        <w:tc>
          <w:tcPr>
            <w:tcW w:w="1733" w:type="dxa"/>
            <w:tcBorders/>
            <w:vAlign w:val="center"/>
          </w:tcPr>
          <w:p>
            <w:pPr>
              <w:pStyle w:val="TableContents"/>
              <w:bidi w:val="0"/>
              <w:spacing w:before="120" w:after="120"/>
              <w:jc w:val="start"/>
              <w:rPr/>
            </w:pPr>
            <w:r>
              <w:rPr/>
              <w:t>[TO DETERMINE]</w:t>
            </w:r>
          </w:p>
        </w:tc>
        <w:tc>
          <w:tcPr>
            <w:tcW w:w="7450" w:type="dxa"/>
            <w:tcBorders/>
            <w:vAlign w:val="center"/>
          </w:tcPr>
          <w:p>
            <w:pPr>
              <w:pStyle w:val="TableContents"/>
              <w:bidi w:val="0"/>
              <w:spacing w:before="120" w:after="120"/>
              <w:jc w:val="start"/>
              <w:rPr/>
            </w:pPr>
            <w:r>
              <w:rPr/>
              <w:t>Domain values and tested convergence window.</w:t>
            </w:r>
          </w:p>
        </w:tc>
      </w:tr>
      <w:tr>
        <w:trPr/>
        <w:tc>
          <w:tcPr>
            <w:tcW w:w="4455" w:type="dxa"/>
            <w:tcBorders/>
            <w:vAlign w:val="center"/>
          </w:tcPr>
          <w:p>
            <w:pPr>
              <w:pStyle w:val="TableContents"/>
              <w:bidi w:val="0"/>
              <w:spacing w:before="120" w:after="120"/>
              <w:jc w:val="start"/>
              <w:rPr/>
            </w:pPr>
            <w:r>
              <w:rPr/>
              <w:t>Did divergence or signal impairment appear?</w:t>
            </w:r>
          </w:p>
        </w:tc>
        <w:tc>
          <w:tcPr>
            <w:tcW w:w="1733" w:type="dxa"/>
            <w:tcBorders/>
            <w:vAlign w:val="center"/>
          </w:tcPr>
          <w:p>
            <w:pPr>
              <w:pStyle w:val="TableContents"/>
              <w:bidi w:val="0"/>
              <w:spacing w:before="120" w:after="120"/>
              <w:jc w:val="start"/>
              <w:rPr/>
            </w:pPr>
            <w:r>
              <w:rPr/>
              <w:t>[TO DETERMINE]</w:t>
            </w:r>
          </w:p>
        </w:tc>
        <w:tc>
          <w:tcPr>
            <w:tcW w:w="7450" w:type="dxa"/>
            <w:tcBorders/>
            <w:vAlign w:val="center"/>
          </w:tcPr>
          <w:p>
            <w:pPr>
              <w:pStyle w:val="TableContents"/>
              <w:bidi w:val="0"/>
              <w:spacing w:before="120" w:after="120"/>
              <w:jc w:val="start"/>
              <w:rPr/>
            </w:pPr>
            <w:r>
              <w:rPr/>
              <w:t>Source balance, missingness, public-search discontinuities, or non-confirming financial movement.</w:t>
            </w:r>
          </w:p>
        </w:tc>
      </w:tr>
      <w:tr>
        <w:trPr/>
        <w:tc>
          <w:tcPr>
            <w:tcW w:w="4455" w:type="dxa"/>
            <w:tcBorders/>
            <w:vAlign w:val="center"/>
          </w:tcPr>
          <w:p>
            <w:pPr>
              <w:pStyle w:val="TableContents"/>
              <w:bidi w:val="0"/>
              <w:spacing w:before="120" w:after="120"/>
              <w:jc w:val="start"/>
              <w:rPr/>
            </w:pPr>
            <w:r>
              <w:rPr/>
              <w:t>Did isolated stress become systemic stress?</w:t>
            </w:r>
          </w:p>
        </w:tc>
        <w:tc>
          <w:tcPr>
            <w:tcW w:w="1733" w:type="dxa"/>
            <w:tcBorders/>
            <w:vAlign w:val="center"/>
          </w:tcPr>
          <w:p>
            <w:pPr>
              <w:pStyle w:val="TableContents"/>
              <w:bidi w:val="0"/>
              <w:spacing w:before="120" w:after="120"/>
              <w:jc w:val="start"/>
              <w:rPr/>
            </w:pPr>
            <w:r>
              <w:rPr/>
              <w:t>[TO DETERMINE]</w:t>
            </w:r>
          </w:p>
        </w:tc>
        <w:tc>
          <w:tcPr>
            <w:tcW w:w="7450" w:type="dxa"/>
            <w:tcBorders/>
            <w:vAlign w:val="center"/>
          </w:tcPr>
          <w:p>
            <w:pPr>
              <w:pStyle w:val="TableContents"/>
              <w:bidi w:val="0"/>
              <w:spacing w:before="120" w:after="120"/>
              <w:jc w:val="start"/>
              <w:rPr/>
            </w:pPr>
            <w:r>
              <w:rPr/>
              <w:t>Integrated risk transition and number of elevated streams/domains.</w:t>
            </w:r>
          </w:p>
        </w:tc>
      </w:tr>
      <w:tr>
        <w:trPr/>
        <w:tc>
          <w:tcPr>
            <w:tcW w:w="4455" w:type="dxa"/>
            <w:tcBorders/>
            <w:vAlign w:val="center"/>
          </w:tcPr>
          <w:p>
            <w:pPr>
              <w:pStyle w:val="TableContents"/>
              <w:bidi w:val="0"/>
              <w:spacing w:before="120" w:after="120"/>
              <w:jc w:val="start"/>
              <w:rPr/>
            </w:pPr>
            <w:r>
              <w:rPr/>
              <w:t>Did Talosai support forward-looking posture guidance?</w:t>
            </w:r>
          </w:p>
        </w:tc>
        <w:tc>
          <w:tcPr>
            <w:tcW w:w="1733" w:type="dxa"/>
            <w:tcBorders/>
            <w:vAlign w:val="center"/>
          </w:tcPr>
          <w:p>
            <w:pPr>
              <w:pStyle w:val="TableContents"/>
              <w:bidi w:val="0"/>
              <w:spacing w:before="120" w:after="120"/>
              <w:jc w:val="start"/>
              <w:rPr/>
            </w:pPr>
            <w:r>
              <w:rPr/>
              <w:t>[TO DETERMINE]</w:t>
            </w:r>
          </w:p>
        </w:tc>
        <w:tc>
          <w:tcPr>
            <w:tcW w:w="7450" w:type="dxa"/>
            <w:tcBorders/>
            <w:vAlign w:val="center"/>
          </w:tcPr>
          <w:p>
            <w:pPr>
              <w:pStyle w:val="TableContents"/>
              <w:bidi w:val="0"/>
              <w:spacing w:before="120" w:after="120"/>
              <w:jc w:val="start"/>
              <w:rPr/>
            </w:pPr>
            <w:r>
              <w:rPr/>
              <w:t>Archived forecast or documented risk-state guidance available at the time.</w:t>
            </w:r>
          </w:p>
        </w:tc>
      </w:tr>
      <w:tr>
        <w:trPr/>
        <w:tc>
          <w:tcPr>
            <w:tcW w:w="4455" w:type="dxa"/>
            <w:tcBorders/>
            <w:vAlign w:val="center"/>
          </w:tcPr>
          <w:p>
            <w:pPr>
              <w:pStyle w:val="TableContents"/>
              <w:bidi w:val="0"/>
              <w:spacing w:before="120" w:after="120"/>
              <w:jc w:val="start"/>
              <w:rPr/>
            </w:pPr>
            <w:r>
              <w:rPr/>
              <w:t>How early was the first defensible signal?</w:t>
            </w:r>
          </w:p>
        </w:tc>
        <w:tc>
          <w:tcPr>
            <w:tcW w:w="1733" w:type="dxa"/>
            <w:tcBorders/>
            <w:vAlign w:val="center"/>
          </w:tcPr>
          <w:p>
            <w:pPr>
              <w:pStyle w:val="TableContents"/>
              <w:bidi w:val="0"/>
              <w:spacing w:before="120" w:after="120"/>
              <w:jc w:val="start"/>
              <w:rPr/>
            </w:pPr>
            <w:r>
              <w:rPr/>
              <w:t>[TO CALCULATE]</w:t>
            </w:r>
          </w:p>
        </w:tc>
        <w:tc>
          <w:tcPr>
            <w:tcW w:w="7450" w:type="dxa"/>
            <w:tcBorders/>
            <w:vAlign w:val="center"/>
          </w:tcPr>
          <w:p>
            <w:pPr>
              <w:pStyle w:val="TableContents"/>
              <w:bidi w:val="0"/>
              <w:spacing w:before="120" w:after="120"/>
              <w:jc w:val="start"/>
              <w:rPr/>
            </w:pPr>
            <w:r>
              <w:rPr/>
              <w:t>First supported as-of date compared with the chosen event anchor.</w:t>
            </w:r>
          </w:p>
        </w:tc>
      </w:tr>
    </w:tbl>
    <w:p>
      <w:pPr>
        <w:pStyle w:val="Heading2"/>
        <w:bidi w:val="0"/>
        <w:jc w:val="start"/>
        <w:rPr/>
      </w:pPr>
      <w:r>
        <w:rPr/>
        <w:t>Systemic Correlation and Convergence</w:t>
      </w:r>
    </w:p>
    <w:p>
      <w:pPr>
        <w:pStyle w:val="BodyText"/>
        <w:bidi w:val="0"/>
        <w:jc w:val="start"/>
        <w:rPr/>
      </w:pPr>
      <w:r>
        <w:rPr/>
        <w:t>Correlation should be used to explain relationships, not to imply causation or prediction. Select windows before examining the result, report sample size where possible, and distinguish full-window correlation from event-window co-movement. Negative or broken relationships can be informative when a stream is impaired or when one signal legitimately does not confirm the crisis.</w:t>
      </w:r>
    </w:p>
    <w:tbl>
      <w:tblPr>
        <w:tblW w:w="13638" w:type="dxa"/>
        <w:jc w:val="start"/>
        <w:tblInd w:w="0" w:type="dxa"/>
        <w:tblLayout w:type="fixed"/>
        <w:tblCellMar>
          <w:top w:w="28" w:type="dxa"/>
          <w:start w:w="28" w:type="dxa"/>
          <w:bottom w:w="28" w:type="dxa"/>
          <w:end w:w="28" w:type="dxa"/>
        </w:tblCellMar>
      </w:tblPr>
      <w:tblGrid>
        <w:gridCol w:w="3262"/>
        <w:gridCol w:w="1952"/>
        <w:gridCol w:w="2459"/>
        <w:gridCol w:w="2061"/>
        <w:gridCol w:w="3904"/>
      </w:tblGrid>
      <w:tr>
        <w:trPr>
          <w:tblHeader w:val="true"/>
        </w:trPr>
        <w:tc>
          <w:tcPr>
            <w:tcW w:w="3262" w:type="dxa"/>
            <w:tcBorders/>
            <w:vAlign w:val="center"/>
          </w:tcPr>
          <w:p>
            <w:pPr>
              <w:pStyle w:val="TableHeading"/>
              <w:suppressLineNumbers/>
              <w:shd w:fill="133B4A" w:val="clear"/>
              <w:bidi w:val="0"/>
              <w:spacing w:before="120" w:after="120"/>
              <w:jc w:val="start"/>
              <w:rPr/>
            </w:pPr>
            <w:r>
              <w:rPr/>
              <w:t>Co-movement pair</w:t>
            </w:r>
          </w:p>
        </w:tc>
        <w:tc>
          <w:tcPr>
            <w:tcW w:w="1952" w:type="dxa"/>
            <w:tcBorders/>
            <w:vAlign w:val="center"/>
          </w:tcPr>
          <w:p>
            <w:pPr>
              <w:pStyle w:val="TableHeading"/>
              <w:suppressLineNumbers/>
              <w:shd w:fill="133B4A" w:val="clear"/>
              <w:bidi w:val="0"/>
              <w:spacing w:before="120" w:after="120"/>
              <w:jc w:val="start"/>
              <w:rPr/>
            </w:pPr>
            <w:r>
              <w:rPr/>
              <w:t>Baseline window</w:t>
            </w:r>
          </w:p>
        </w:tc>
        <w:tc>
          <w:tcPr>
            <w:tcW w:w="2459" w:type="dxa"/>
            <w:tcBorders/>
            <w:vAlign w:val="center"/>
          </w:tcPr>
          <w:p>
            <w:pPr>
              <w:pStyle w:val="TableHeading"/>
              <w:suppressLineNumbers/>
              <w:shd w:fill="133B4A" w:val="clear"/>
              <w:bidi w:val="0"/>
              <w:spacing w:before="120" w:after="120"/>
              <w:jc w:val="start"/>
              <w:rPr/>
            </w:pPr>
            <w:r>
              <w:rPr/>
              <w:t>Pre-event / formation</w:t>
            </w:r>
          </w:p>
        </w:tc>
        <w:tc>
          <w:tcPr>
            <w:tcW w:w="2061" w:type="dxa"/>
            <w:tcBorders/>
            <w:vAlign w:val="center"/>
          </w:tcPr>
          <w:p>
            <w:pPr>
              <w:pStyle w:val="TableHeading"/>
              <w:suppressLineNumbers/>
              <w:shd w:fill="133B4A" w:val="clear"/>
              <w:bidi w:val="0"/>
              <w:spacing w:before="120" w:after="120"/>
              <w:jc w:val="start"/>
              <w:rPr/>
            </w:pPr>
            <w:r>
              <w:rPr/>
              <w:t>Event / escalation</w:t>
            </w:r>
          </w:p>
        </w:tc>
        <w:tc>
          <w:tcPr>
            <w:tcW w:w="3904" w:type="dxa"/>
            <w:tcBorders/>
            <w:vAlign w:val="center"/>
          </w:tcPr>
          <w:p>
            <w:pPr>
              <w:pStyle w:val="TableHeading"/>
              <w:suppressLineNumbers/>
              <w:shd w:fill="133B4A" w:val="clear"/>
              <w:bidi w:val="0"/>
              <w:spacing w:before="120" w:after="120"/>
              <w:jc w:val="start"/>
              <w:rPr/>
            </w:pPr>
            <w:r>
              <w:rPr/>
              <w:t>Interpretation</w:t>
            </w:r>
          </w:p>
        </w:tc>
      </w:tr>
      <w:tr>
        <w:trPr/>
        <w:tc>
          <w:tcPr>
            <w:tcW w:w="3262" w:type="dxa"/>
            <w:tcBorders/>
            <w:vAlign w:val="center"/>
          </w:tcPr>
          <w:p>
            <w:pPr>
              <w:pStyle w:val="TableContents"/>
              <w:bidi w:val="0"/>
              <w:spacing w:before="120" w:after="120"/>
              <w:jc w:val="start"/>
              <w:rPr/>
            </w:pPr>
            <w:r>
              <w:rPr/>
              <w:t>Narrative ↔ Public concern</w:t>
            </w:r>
          </w:p>
        </w:tc>
        <w:tc>
          <w:tcPr>
            <w:tcW w:w="1952" w:type="dxa"/>
            <w:tcBorders/>
            <w:vAlign w:val="center"/>
          </w:tcPr>
          <w:p>
            <w:pPr>
              <w:pStyle w:val="TableContents"/>
              <w:bidi w:val="0"/>
              <w:spacing w:before="120" w:after="120"/>
              <w:jc w:val="start"/>
              <w:rPr/>
            </w:pPr>
            <w:r>
              <w:rPr/>
              <w:t>[r / n]</w:t>
            </w:r>
          </w:p>
        </w:tc>
        <w:tc>
          <w:tcPr>
            <w:tcW w:w="2459" w:type="dxa"/>
            <w:tcBorders/>
            <w:vAlign w:val="center"/>
          </w:tcPr>
          <w:p>
            <w:pPr>
              <w:pStyle w:val="TableContents"/>
              <w:bidi w:val="0"/>
              <w:spacing w:before="120" w:after="120"/>
              <w:jc w:val="start"/>
              <w:rPr/>
            </w:pPr>
            <w:r>
              <w:rPr/>
              <w:t>[r / n]</w:t>
            </w:r>
          </w:p>
        </w:tc>
        <w:tc>
          <w:tcPr>
            <w:tcW w:w="2061" w:type="dxa"/>
            <w:tcBorders/>
            <w:vAlign w:val="center"/>
          </w:tcPr>
          <w:p>
            <w:pPr>
              <w:pStyle w:val="TableContents"/>
              <w:bidi w:val="0"/>
              <w:spacing w:before="120" w:after="120"/>
              <w:jc w:val="start"/>
              <w:rPr/>
            </w:pPr>
            <w:r>
              <w:rPr/>
              <w:t>[r / n]</w:t>
            </w:r>
          </w:p>
        </w:tc>
        <w:tc>
          <w:tcPr>
            <w:tcW w:w="3904" w:type="dxa"/>
            <w:tcBorders/>
            <w:vAlign w:val="center"/>
          </w:tcPr>
          <w:p>
            <w:pPr>
              <w:pStyle w:val="TableContents"/>
              <w:bidi w:val="0"/>
              <w:spacing w:before="120" w:after="120"/>
              <w:jc w:val="start"/>
              <w:rPr/>
            </w:pPr>
            <w:r>
              <w:rPr/>
              <w:t>[TALOSAI ANALYST INTERPRETATION]</w:t>
            </w:r>
          </w:p>
        </w:tc>
      </w:tr>
      <w:tr>
        <w:trPr/>
        <w:tc>
          <w:tcPr>
            <w:tcW w:w="3262" w:type="dxa"/>
            <w:tcBorders/>
            <w:vAlign w:val="center"/>
          </w:tcPr>
          <w:p>
            <w:pPr>
              <w:pStyle w:val="TableContents"/>
              <w:bidi w:val="0"/>
              <w:spacing w:before="120" w:after="120"/>
              <w:jc w:val="start"/>
              <w:rPr/>
            </w:pPr>
            <w:r>
              <w:rPr/>
              <w:t>Narrative ↔ Financial pressure</w:t>
            </w:r>
          </w:p>
        </w:tc>
        <w:tc>
          <w:tcPr>
            <w:tcW w:w="1952" w:type="dxa"/>
            <w:tcBorders/>
            <w:vAlign w:val="center"/>
          </w:tcPr>
          <w:p>
            <w:pPr>
              <w:pStyle w:val="TableContents"/>
              <w:bidi w:val="0"/>
              <w:spacing w:before="120" w:after="120"/>
              <w:jc w:val="start"/>
              <w:rPr/>
            </w:pPr>
            <w:r>
              <w:rPr/>
              <w:t>[r / n]</w:t>
            </w:r>
          </w:p>
        </w:tc>
        <w:tc>
          <w:tcPr>
            <w:tcW w:w="2459" w:type="dxa"/>
            <w:tcBorders/>
            <w:vAlign w:val="center"/>
          </w:tcPr>
          <w:p>
            <w:pPr>
              <w:pStyle w:val="TableContents"/>
              <w:bidi w:val="0"/>
              <w:spacing w:before="120" w:after="120"/>
              <w:jc w:val="start"/>
              <w:rPr/>
            </w:pPr>
            <w:r>
              <w:rPr/>
              <w:t>[r / n]</w:t>
            </w:r>
          </w:p>
        </w:tc>
        <w:tc>
          <w:tcPr>
            <w:tcW w:w="2061" w:type="dxa"/>
            <w:tcBorders/>
            <w:vAlign w:val="center"/>
          </w:tcPr>
          <w:p>
            <w:pPr>
              <w:pStyle w:val="TableContents"/>
              <w:bidi w:val="0"/>
              <w:spacing w:before="120" w:after="120"/>
              <w:jc w:val="start"/>
              <w:rPr/>
            </w:pPr>
            <w:r>
              <w:rPr/>
              <w:t>[r / n]</w:t>
            </w:r>
          </w:p>
        </w:tc>
        <w:tc>
          <w:tcPr>
            <w:tcW w:w="3904" w:type="dxa"/>
            <w:tcBorders/>
            <w:vAlign w:val="center"/>
          </w:tcPr>
          <w:p>
            <w:pPr>
              <w:pStyle w:val="TableContents"/>
              <w:bidi w:val="0"/>
              <w:spacing w:before="120" w:after="120"/>
              <w:jc w:val="start"/>
              <w:rPr/>
            </w:pPr>
            <w:r>
              <w:rPr/>
              <w:t>[TALOSAI ANALYST INTERPRETATION]</w:t>
            </w:r>
          </w:p>
        </w:tc>
      </w:tr>
      <w:tr>
        <w:trPr/>
        <w:tc>
          <w:tcPr>
            <w:tcW w:w="3262" w:type="dxa"/>
            <w:tcBorders/>
            <w:vAlign w:val="center"/>
          </w:tcPr>
          <w:p>
            <w:pPr>
              <w:pStyle w:val="TableContents"/>
              <w:bidi w:val="0"/>
              <w:spacing w:before="120" w:after="120"/>
              <w:jc w:val="start"/>
              <w:rPr/>
            </w:pPr>
            <w:r>
              <w:rPr/>
              <w:t>Governance ↔ Society</w:t>
            </w:r>
          </w:p>
        </w:tc>
        <w:tc>
          <w:tcPr>
            <w:tcW w:w="1952" w:type="dxa"/>
            <w:tcBorders/>
            <w:vAlign w:val="center"/>
          </w:tcPr>
          <w:p>
            <w:pPr>
              <w:pStyle w:val="TableContents"/>
              <w:bidi w:val="0"/>
              <w:spacing w:before="120" w:after="120"/>
              <w:jc w:val="start"/>
              <w:rPr/>
            </w:pPr>
            <w:r>
              <w:rPr/>
              <w:t>[r / n]</w:t>
            </w:r>
          </w:p>
        </w:tc>
        <w:tc>
          <w:tcPr>
            <w:tcW w:w="2459" w:type="dxa"/>
            <w:tcBorders/>
            <w:vAlign w:val="center"/>
          </w:tcPr>
          <w:p>
            <w:pPr>
              <w:pStyle w:val="TableContents"/>
              <w:bidi w:val="0"/>
              <w:spacing w:before="120" w:after="120"/>
              <w:jc w:val="start"/>
              <w:rPr/>
            </w:pPr>
            <w:r>
              <w:rPr/>
              <w:t>[r / n]</w:t>
            </w:r>
          </w:p>
        </w:tc>
        <w:tc>
          <w:tcPr>
            <w:tcW w:w="2061" w:type="dxa"/>
            <w:tcBorders/>
            <w:vAlign w:val="center"/>
          </w:tcPr>
          <w:p>
            <w:pPr>
              <w:pStyle w:val="TableContents"/>
              <w:bidi w:val="0"/>
              <w:spacing w:before="120" w:after="120"/>
              <w:jc w:val="start"/>
              <w:rPr/>
            </w:pPr>
            <w:r>
              <w:rPr/>
              <w:t>[r / n]</w:t>
            </w:r>
          </w:p>
        </w:tc>
        <w:tc>
          <w:tcPr>
            <w:tcW w:w="3904" w:type="dxa"/>
            <w:tcBorders/>
            <w:vAlign w:val="center"/>
          </w:tcPr>
          <w:p>
            <w:pPr>
              <w:pStyle w:val="TableContents"/>
              <w:bidi w:val="0"/>
              <w:spacing w:before="120" w:after="120"/>
              <w:jc w:val="start"/>
              <w:rPr/>
            </w:pPr>
            <w:r>
              <w:rPr/>
              <w:t>[TALOSAI ANALYST INTERPRETATION]</w:t>
            </w:r>
          </w:p>
        </w:tc>
      </w:tr>
      <w:tr>
        <w:trPr/>
        <w:tc>
          <w:tcPr>
            <w:tcW w:w="3262" w:type="dxa"/>
            <w:tcBorders/>
            <w:vAlign w:val="center"/>
          </w:tcPr>
          <w:p>
            <w:pPr>
              <w:pStyle w:val="TableContents"/>
              <w:bidi w:val="0"/>
              <w:spacing w:before="120" w:after="120"/>
              <w:jc w:val="start"/>
              <w:rPr/>
            </w:pPr>
            <w:r>
              <w:rPr/>
              <w:t>Security/Defense ↔ Society</w:t>
            </w:r>
          </w:p>
        </w:tc>
        <w:tc>
          <w:tcPr>
            <w:tcW w:w="1952" w:type="dxa"/>
            <w:tcBorders/>
            <w:vAlign w:val="center"/>
          </w:tcPr>
          <w:p>
            <w:pPr>
              <w:pStyle w:val="TableContents"/>
              <w:bidi w:val="0"/>
              <w:spacing w:before="120" w:after="120"/>
              <w:jc w:val="start"/>
              <w:rPr/>
            </w:pPr>
            <w:r>
              <w:rPr/>
              <w:t>[r / n]</w:t>
            </w:r>
          </w:p>
        </w:tc>
        <w:tc>
          <w:tcPr>
            <w:tcW w:w="2459" w:type="dxa"/>
            <w:tcBorders/>
            <w:vAlign w:val="center"/>
          </w:tcPr>
          <w:p>
            <w:pPr>
              <w:pStyle w:val="TableContents"/>
              <w:bidi w:val="0"/>
              <w:spacing w:before="120" w:after="120"/>
              <w:jc w:val="start"/>
              <w:rPr/>
            </w:pPr>
            <w:r>
              <w:rPr/>
              <w:t>[r / n]</w:t>
            </w:r>
          </w:p>
        </w:tc>
        <w:tc>
          <w:tcPr>
            <w:tcW w:w="2061" w:type="dxa"/>
            <w:tcBorders/>
            <w:vAlign w:val="center"/>
          </w:tcPr>
          <w:p>
            <w:pPr>
              <w:pStyle w:val="TableContents"/>
              <w:bidi w:val="0"/>
              <w:spacing w:before="120" w:after="120"/>
              <w:jc w:val="start"/>
              <w:rPr/>
            </w:pPr>
            <w:r>
              <w:rPr/>
              <w:t>[r / n]</w:t>
            </w:r>
          </w:p>
        </w:tc>
        <w:tc>
          <w:tcPr>
            <w:tcW w:w="3904" w:type="dxa"/>
            <w:tcBorders/>
            <w:vAlign w:val="center"/>
          </w:tcPr>
          <w:p>
            <w:pPr>
              <w:pStyle w:val="TableContents"/>
              <w:bidi w:val="0"/>
              <w:spacing w:before="120" w:after="120"/>
              <w:jc w:val="start"/>
              <w:rPr/>
            </w:pPr>
            <w:r>
              <w:rPr/>
              <w:t>[TALOSAI ANALYST INTERPRETATION]</w:t>
            </w:r>
          </w:p>
        </w:tc>
      </w:tr>
      <w:tr>
        <w:trPr/>
        <w:tc>
          <w:tcPr>
            <w:tcW w:w="3262" w:type="dxa"/>
            <w:tcBorders/>
            <w:vAlign w:val="center"/>
          </w:tcPr>
          <w:p>
            <w:pPr>
              <w:pStyle w:val="TableContents"/>
              <w:bidi w:val="0"/>
              <w:spacing w:before="120" w:after="120"/>
              <w:jc w:val="start"/>
              <w:rPr/>
            </w:pPr>
            <w:r>
              <w:rPr/>
              <w:t>Economy ↔ Governance</w:t>
            </w:r>
          </w:p>
        </w:tc>
        <w:tc>
          <w:tcPr>
            <w:tcW w:w="1952" w:type="dxa"/>
            <w:tcBorders/>
            <w:vAlign w:val="center"/>
          </w:tcPr>
          <w:p>
            <w:pPr>
              <w:pStyle w:val="TableContents"/>
              <w:bidi w:val="0"/>
              <w:spacing w:before="120" w:after="120"/>
              <w:jc w:val="start"/>
              <w:rPr/>
            </w:pPr>
            <w:r>
              <w:rPr/>
              <w:t>[r / n]</w:t>
            </w:r>
          </w:p>
        </w:tc>
        <w:tc>
          <w:tcPr>
            <w:tcW w:w="2459" w:type="dxa"/>
            <w:tcBorders/>
            <w:vAlign w:val="center"/>
          </w:tcPr>
          <w:p>
            <w:pPr>
              <w:pStyle w:val="TableContents"/>
              <w:bidi w:val="0"/>
              <w:spacing w:before="120" w:after="120"/>
              <w:jc w:val="start"/>
              <w:rPr/>
            </w:pPr>
            <w:r>
              <w:rPr/>
              <w:t>[r / n]</w:t>
            </w:r>
          </w:p>
        </w:tc>
        <w:tc>
          <w:tcPr>
            <w:tcW w:w="2061" w:type="dxa"/>
            <w:tcBorders/>
            <w:vAlign w:val="center"/>
          </w:tcPr>
          <w:p>
            <w:pPr>
              <w:pStyle w:val="TableContents"/>
              <w:bidi w:val="0"/>
              <w:spacing w:before="120" w:after="120"/>
              <w:jc w:val="start"/>
              <w:rPr/>
            </w:pPr>
            <w:r>
              <w:rPr/>
              <w:t>[r / n]</w:t>
            </w:r>
          </w:p>
        </w:tc>
        <w:tc>
          <w:tcPr>
            <w:tcW w:w="3904" w:type="dxa"/>
            <w:tcBorders/>
            <w:vAlign w:val="center"/>
          </w:tcPr>
          <w:p>
            <w:pPr>
              <w:pStyle w:val="TableContents"/>
              <w:bidi w:val="0"/>
              <w:spacing w:before="120" w:after="120"/>
              <w:jc w:val="start"/>
              <w:rPr/>
            </w:pPr>
            <w:r>
              <w:rPr/>
              <w:t>[TALOSAI ANALYST INTERPRETATION]</w:t>
            </w:r>
          </w:p>
        </w:tc>
      </w:tr>
    </w:tbl>
    <w:p>
      <w:pPr>
        <w:pStyle w:val="Heading2"/>
        <w:bidi w:val="0"/>
        <w:jc w:val="start"/>
        <w:rPr/>
      </w:pPr>
      <w:r>
        <w:rPr/>
        <w:t>Decision-Relevance Assessment</w:t>
      </w:r>
    </w:p>
    <w:p>
      <w:pPr>
        <w:pStyle w:val="BodyText"/>
        <w:bidi w:val="0"/>
        <w:jc w:val="start"/>
        <w:rPr/>
      </w:pPr>
      <w:r>
        <w:rPr/>
        <w:t>The purpose of the case is to connect an observed signal state to actions a decision-maker could reasonably take at that time. Recommendations should be proportional to evidence and should not imply that Talosai directs operational decisions without human judgment.</w:t>
      </w:r>
    </w:p>
    <w:tbl>
      <w:tblPr>
        <w:tblW w:w="13638" w:type="dxa"/>
        <w:jc w:val="start"/>
        <w:tblInd w:w="0" w:type="dxa"/>
        <w:tblLayout w:type="fixed"/>
        <w:tblCellMar>
          <w:top w:w="28" w:type="dxa"/>
          <w:start w:w="28" w:type="dxa"/>
          <w:bottom w:w="28" w:type="dxa"/>
          <w:end w:w="28" w:type="dxa"/>
        </w:tblCellMar>
      </w:tblPr>
      <w:tblGrid>
        <w:gridCol w:w="2647"/>
        <w:gridCol w:w="4993"/>
        <w:gridCol w:w="5998"/>
      </w:tblGrid>
      <w:tr>
        <w:trPr>
          <w:tblHeader w:val="true"/>
        </w:trPr>
        <w:tc>
          <w:tcPr>
            <w:tcW w:w="2647" w:type="dxa"/>
            <w:tcBorders/>
            <w:vAlign w:val="center"/>
          </w:tcPr>
          <w:p>
            <w:pPr>
              <w:pStyle w:val="TableHeading"/>
              <w:suppressLineNumbers/>
              <w:shd w:fill="133B4A" w:val="clear"/>
              <w:bidi w:val="0"/>
              <w:spacing w:before="120" w:after="120"/>
              <w:jc w:val="start"/>
              <w:rPr/>
            </w:pPr>
            <w:r>
              <w:rPr/>
              <w:t>Alert posture</w:t>
            </w:r>
          </w:p>
        </w:tc>
        <w:tc>
          <w:tcPr>
            <w:tcW w:w="4993" w:type="dxa"/>
            <w:tcBorders/>
            <w:vAlign w:val="center"/>
          </w:tcPr>
          <w:p>
            <w:pPr>
              <w:pStyle w:val="TableHeading"/>
              <w:suppressLineNumbers/>
              <w:shd w:fill="133B4A" w:val="clear"/>
              <w:bidi w:val="0"/>
              <w:spacing w:before="120" w:after="120"/>
              <w:jc w:val="start"/>
              <w:rPr/>
            </w:pPr>
            <w:r>
              <w:rPr/>
              <w:t>Signal basis</w:t>
            </w:r>
          </w:p>
        </w:tc>
        <w:tc>
          <w:tcPr>
            <w:tcW w:w="5998" w:type="dxa"/>
            <w:tcBorders/>
            <w:vAlign w:val="center"/>
          </w:tcPr>
          <w:p>
            <w:pPr>
              <w:pStyle w:val="TableHeading"/>
              <w:suppressLineNumbers/>
              <w:shd w:fill="133B4A" w:val="clear"/>
              <w:bidi w:val="0"/>
              <w:spacing w:before="120" w:after="120"/>
              <w:jc w:val="start"/>
              <w:rPr/>
            </w:pPr>
            <w:r>
              <w:rPr/>
              <w:t>Decision-maker actions supported</w:t>
            </w:r>
          </w:p>
        </w:tc>
      </w:tr>
      <w:tr>
        <w:trPr/>
        <w:tc>
          <w:tcPr>
            <w:tcW w:w="2647" w:type="dxa"/>
            <w:tcBorders/>
            <w:vAlign w:val="center"/>
          </w:tcPr>
          <w:p>
            <w:pPr>
              <w:pStyle w:val="TableContents"/>
              <w:bidi w:val="0"/>
              <w:spacing w:before="120" w:after="120"/>
              <w:jc w:val="start"/>
              <w:rPr/>
            </w:pPr>
            <w:r>
              <w:rPr/>
              <w:t>Monitor / structural imbalance</w:t>
            </w:r>
          </w:p>
        </w:tc>
        <w:tc>
          <w:tcPr>
            <w:tcW w:w="4993" w:type="dxa"/>
            <w:tcBorders/>
            <w:vAlign w:val="center"/>
          </w:tcPr>
          <w:p>
            <w:pPr>
              <w:pStyle w:val="TableContents"/>
              <w:bidi w:val="0"/>
              <w:spacing w:before="120" w:after="120"/>
              <w:jc w:val="start"/>
              <w:rPr/>
            </w:pPr>
            <w:r>
              <w:rPr/>
              <w:t>Leverage, affordability, inventory, and construction risks are elevated but stable.</w:t>
            </w:r>
          </w:p>
        </w:tc>
        <w:tc>
          <w:tcPr>
            <w:tcW w:w="5998" w:type="dxa"/>
            <w:tcBorders/>
            <w:vAlign w:val="center"/>
          </w:tcPr>
          <w:p>
            <w:pPr>
              <w:pStyle w:val="TableContents"/>
              <w:bidi w:val="0"/>
              <w:spacing w:before="120" w:after="120"/>
              <w:jc w:val="start"/>
              <w:rPr/>
            </w:pPr>
            <w:r>
              <w:rPr/>
              <w:t>Map direct and indirect property exposure; establish developer, bank, local-government, and supplier triggers.</w:t>
            </w:r>
          </w:p>
        </w:tc>
      </w:tr>
      <w:tr>
        <w:trPr/>
        <w:tc>
          <w:tcPr>
            <w:tcW w:w="2647" w:type="dxa"/>
            <w:tcBorders/>
            <w:vAlign w:val="center"/>
          </w:tcPr>
          <w:p>
            <w:pPr>
              <w:pStyle w:val="TableContents"/>
              <w:bidi w:val="0"/>
              <w:spacing w:before="120" w:after="120"/>
              <w:jc w:val="start"/>
              <w:rPr/>
            </w:pPr>
            <w:r>
              <w:rPr/>
              <w:t>Developer-distress watch</w:t>
            </w:r>
          </w:p>
        </w:tc>
        <w:tc>
          <w:tcPr>
            <w:tcW w:w="4993" w:type="dxa"/>
            <w:tcBorders/>
            <w:vAlign w:val="center"/>
          </w:tcPr>
          <w:p>
            <w:pPr>
              <w:pStyle w:val="TableContents"/>
              <w:bidi w:val="0"/>
              <w:spacing w:before="120" w:after="120"/>
              <w:jc w:val="start"/>
              <w:rPr/>
            </w:pPr>
            <w:r>
              <w:rPr/>
              <w:t>Financing pressure and negative developer narratives become persistent.</w:t>
            </w:r>
          </w:p>
        </w:tc>
        <w:tc>
          <w:tcPr>
            <w:tcW w:w="5998" w:type="dxa"/>
            <w:tcBorders/>
            <w:vAlign w:val="center"/>
          </w:tcPr>
          <w:p>
            <w:pPr>
              <w:pStyle w:val="TableContents"/>
              <w:bidi w:val="0"/>
              <w:spacing w:before="120" w:after="120"/>
              <w:jc w:val="start"/>
              <w:rPr/>
            </w:pPr>
            <w:r>
              <w:rPr/>
              <w:t>Increase counterparty reviews; assess delivery, receivables, and funding dependencies.</w:t>
            </w:r>
          </w:p>
        </w:tc>
      </w:tr>
      <w:tr>
        <w:trPr/>
        <w:tc>
          <w:tcPr>
            <w:tcW w:w="2647" w:type="dxa"/>
            <w:tcBorders/>
            <w:vAlign w:val="center"/>
          </w:tcPr>
          <w:p>
            <w:pPr>
              <w:pStyle w:val="TableContents"/>
              <w:bidi w:val="0"/>
              <w:spacing w:before="120" w:after="120"/>
              <w:jc w:val="start"/>
              <w:rPr/>
            </w:pPr>
            <w:r>
              <w:rPr/>
              <w:t>Confidence and completion alert</w:t>
            </w:r>
          </w:p>
        </w:tc>
        <w:tc>
          <w:tcPr>
            <w:tcW w:w="4993" w:type="dxa"/>
            <w:tcBorders/>
            <w:vAlign w:val="center"/>
          </w:tcPr>
          <w:p>
            <w:pPr>
              <w:pStyle w:val="TableContents"/>
              <w:bidi w:val="0"/>
              <w:spacing w:before="120" w:after="120"/>
              <w:jc w:val="start"/>
              <w:rPr/>
            </w:pPr>
            <w:r>
              <w:rPr/>
              <w:t>Presales weaken and unfinished-home or homebuyer concerns rise.</w:t>
            </w:r>
          </w:p>
        </w:tc>
        <w:tc>
          <w:tcPr>
            <w:tcW w:w="5998" w:type="dxa"/>
            <w:tcBorders/>
            <w:vAlign w:val="center"/>
          </w:tcPr>
          <w:p>
            <w:pPr>
              <w:pStyle w:val="TableContents"/>
              <w:bidi w:val="0"/>
              <w:spacing w:before="120" w:after="120"/>
              <w:jc w:val="start"/>
              <w:rPr/>
            </w:pPr>
            <w:r>
              <w:rPr/>
              <w:t>Review demand assumptions, cash flow, suppliers, and consumer-confidence exposure.</w:t>
            </w:r>
          </w:p>
        </w:tc>
      </w:tr>
      <w:tr>
        <w:trPr/>
        <w:tc>
          <w:tcPr>
            <w:tcW w:w="2647" w:type="dxa"/>
            <w:tcBorders/>
            <w:vAlign w:val="center"/>
          </w:tcPr>
          <w:p>
            <w:pPr>
              <w:pStyle w:val="TableContents"/>
              <w:bidi w:val="0"/>
              <w:spacing w:before="120" w:after="120"/>
              <w:jc w:val="start"/>
              <w:rPr/>
            </w:pPr>
            <w:r>
              <w:rPr/>
              <w:t>Systemic macro-financial alert</w:t>
            </w:r>
          </w:p>
        </w:tc>
        <w:tc>
          <w:tcPr>
            <w:tcW w:w="4993" w:type="dxa"/>
            <w:tcBorders/>
            <w:vAlign w:val="center"/>
          </w:tcPr>
          <w:p>
            <w:pPr>
              <w:pStyle w:val="TableContents"/>
              <w:bidi w:val="0"/>
              <w:spacing w:before="120" w:after="120"/>
              <w:jc w:val="start"/>
              <w:rPr/>
            </w:pPr>
            <w:r>
              <w:rPr/>
              <w:t>Property, financial, local-government, employment, and public-confidence signals converge.</w:t>
            </w:r>
          </w:p>
        </w:tc>
        <w:tc>
          <w:tcPr>
            <w:tcW w:w="5998" w:type="dxa"/>
            <w:tcBorders/>
            <w:vAlign w:val="center"/>
          </w:tcPr>
          <w:p>
            <w:pPr>
              <w:pStyle w:val="TableContents"/>
              <w:bidi w:val="0"/>
              <w:spacing w:before="120" w:after="120"/>
              <w:jc w:val="start"/>
              <w:rPr/>
            </w:pPr>
            <w:r>
              <w:rPr/>
              <w:t>Adjust portfolio, procurement, growth, and regional operating assumptions.</w:t>
            </w:r>
          </w:p>
        </w:tc>
      </w:tr>
      <w:tr>
        <w:trPr/>
        <w:tc>
          <w:tcPr>
            <w:tcW w:w="2647" w:type="dxa"/>
            <w:tcBorders/>
            <w:vAlign w:val="center"/>
          </w:tcPr>
          <w:p>
            <w:pPr>
              <w:pStyle w:val="TableContents"/>
              <w:bidi w:val="0"/>
              <w:spacing w:before="120" w:after="120"/>
              <w:jc w:val="start"/>
              <w:rPr/>
            </w:pPr>
            <w:r>
              <w:rPr/>
              <w:t>Policy-relief watch</w:t>
            </w:r>
          </w:p>
        </w:tc>
        <w:tc>
          <w:tcPr>
            <w:tcW w:w="4993" w:type="dxa"/>
            <w:tcBorders/>
            <w:vAlign w:val="center"/>
          </w:tcPr>
          <w:p>
            <w:pPr>
              <w:pStyle w:val="TableContents"/>
              <w:bidi w:val="0"/>
              <w:spacing w:before="120" w:after="120"/>
              <w:jc w:val="start"/>
              <w:rPr/>
            </w:pPr>
            <w:r>
              <w:rPr/>
              <w:t>Support measures improve one or more streams.</w:t>
            </w:r>
          </w:p>
        </w:tc>
        <w:tc>
          <w:tcPr>
            <w:tcW w:w="5998" w:type="dxa"/>
            <w:tcBorders/>
            <w:vAlign w:val="center"/>
          </w:tcPr>
          <w:p>
            <w:pPr>
              <w:pStyle w:val="TableContents"/>
              <w:bidi w:val="0"/>
              <w:spacing w:before="120" w:after="120"/>
              <w:jc w:val="start"/>
              <w:rPr/>
            </w:pPr>
            <w:r>
              <w:rPr/>
              <w:t>Require sustained multi-stream normalization before reducing posture.</w:t>
            </w:r>
          </w:p>
        </w:tc>
      </w:tr>
      <w:tr>
        <w:trPr/>
        <w:tc>
          <w:tcPr>
            <w:tcW w:w="2647" w:type="dxa"/>
            <w:tcBorders/>
            <w:vAlign w:val="center"/>
          </w:tcPr>
          <w:p>
            <w:pPr>
              <w:pStyle w:val="TableContents"/>
              <w:bidi w:val="0"/>
              <w:spacing w:before="120" w:after="120"/>
              <w:jc w:val="start"/>
              <w:rPr/>
            </w:pPr>
            <w:r>
              <w:rPr/>
              <w:t>Prolonged adjustment</w:t>
            </w:r>
          </w:p>
        </w:tc>
        <w:tc>
          <w:tcPr>
            <w:tcW w:w="4993" w:type="dxa"/>
            <w:tcBorders/>
            <w:vAlign w:val="center"/>
          </w:tcPr>
          <w:p>
            <w:pPr>
              <w:pStyle w:val="TableContents"/>
              <w:bidi w:val="0"/>
              <w:spacing w:before="120" w:after="120"/>
              <w:jc w:val="start"/>
              <w:rPr/>
            </w:pPr>
            <w:r>
              <w:rPr/>
              <w:t>Stress persists through repeated policy cycles.</w:t>
            </w:r>
          </w:p>
        </w:tc>
        <w:tc>
          <w:tcPr>
            <w:tcW w:w="5998" w:type="dxa"/>
            <w:tcBorders/>
            <w:vAlign w:val="center"/>
          </w:tcPr>
          <w:p>
            <w:pPr>
              <w:pStyle w:val="TableContents"/>
              <w:bidi w:val="0"/>
              <w:spacing w:before="120" w:after="120"/>
              <w:jc w:val="start"/>
              <w:rPr/>
            </w:pPr>
            <w:r>
              <w:rPr/>
              <w:t>Plan for a smaller property sector, slower structural demand, and recurring developer resolution.</w:t>
            </w:r>
          </w:p>
        </w:tc>
      </w:tr>
    </w:tbl>
    <w:p>
      <w:pPr>
        <w:pStyle w:val="Heading2"/>
        <w:bidi w:val="0"/>
        <w:jc w:val="start"/>
        <w:rPr/>
      </w:pPr>
      <w:r>
        <w:rPr/>
        <w:t>Important Data and Attribution Notes</w:t>
      </w:r>
    </w:p>
    <w:p>
      <w:pPr>
        <w:pStyle w:val="BodyText"/>
        <w:numPr>
          <w:ilvl w:val="0"/>
          <w:numId w:val="2"/>
        </w:numPr>
        <w:tabs>
          <w:tab w:val="clear" w:pos="1134"/>
          <w:tab w:val="left" w:pos="829" w:leader="none"/>
        </w:tabs>
        <w:bidi w:val="0"/>
        <w:spacing w:before="120" w:after="0"/>
        <w:ind w:hanging="283" w:start="829"/>
        <w:jc w:val="start"/>
        <w:rPr/>
      </w:pPr>
      <w:r>
        <w:rPr/>
        <w:t>All Talosai values, lead times, correlations, and forecast claims must come from archived as-of outputs. No retrospective value should be presented as if it were available earlier.</w:t>
      </w:r>
    </w:p>
    <w:p>
      <w:pPr>
        <w:pStyle w:val="BodyText"/>
        <w:numPr>
          <w:ilvl w:val="0"/>
          <w:numId w:val="2"/>
        </w:numPr>
        <w:tabs>
          <w:tab w:val="clear" w:pos="1134"/>
          <w:tab w:val="left" w:pos="829" w:leader="none"/>
        </w:tabs>
        <w:bidi w:val="0"/>
        <w:spacing w:before="120" w:after="0"/>
        <w:ind w:hanging="283" w:start="829"/>
        <w:jc w:val="start"/>
        <w:rPr/>
      </w:pPr>
      <w:r>
        <w:rPr/>
        <w:t>The analysis window should be confirmed against actual data availability before charts or lead-time calculations are produced.</w:t>
      </w:r>
    </w:p>
    <w:p>
      <w:pPr>
        <w:pStyle w:val="BodyText"/>
        <w:numPr>
          <w:ilvl w:val="0"/>
          <w:numId w:val="2"/>
        </w:numPr>
        <w:tabs>
          <w:tab w:val="clear" w:pos="1134"/>
          <w:tab w:val="left" w:pos="829" w:leader="none"/>
        </w:tabs>
        <w:bidi w:val="0"/>
        <w:spacing w:before="120" w:after="0"/>
        <w:ind w:hanging="283" w:start="829"/>
        <w:jc w:val="start"/>
        <w:rPr/>
      </w:pPr>
      <w:r>
        <w:rPr/>
        <w:t>Event dates are reference anchors. They do not prove that a contemporaneous signal predicted the event.</w:t>
      </w:r>
    </w:p>
    <w:p>
      <w:pPr>
        <w:pStyle w:val="BodyText"/>
        <w:numPr>
          <w:ilvl w:val="0"/>
          <w:numId w:val="2"/>
        </w:numPr>
        <w:tabs>
          <w:tab w:val="clear" w:pos="1134"/>
          <w:tab w:val="left" w:pos="829" w:leader="none"/>
        </w:tabs>
        <w:bidi w:val="0"/>
        <w:spacing w:before="120" w:after="0"/>
        <w:ind w:hanging="283" w:start="829"/>
        <w:jc w:val="start"/>
        <w:rPr/>
      </w:pPr>
      <w:r>
        <w:rPr/>
        <w:t>Public-search behavior may be sparse, language-dependent, geographically uneven, or affected by access restrictions. Topic-level spikes can be more informative than a broad composite.</w:t>
      </w:r>
    </w:p>
    <w:p>
      <w:pPr>
        <w:pStyle w:val="BodyText"/>
        <w:numPr>
          <w:ilvl w:val="0"/>
          <w:numId w:val="2"/>
        </w:numPr>
        <w:tabs>
          <w:tab w:val="clear" w:pos="1134"/>
          <w:tab w:val="left" w:pos="829" w:leader="none"/>
        </w:tabs>
        <w:bidi w:val="0"/>
        <w:spacing w:before="120" w:after="0"/>
        <w:ind w:hanging="283" w:start="829"/>
        <w:jc w:val="start"/>
        <w:rPr/>
      </w:pPr>
      <w:r>
        <w:rPr/>
        <w:t>Narrative volume can be affected by unrelated major news. Domain attribution and source composition should be reviewed before making causal claims.</w:t>
      </w:r>
    </w:p>
    <w:p>
      <w:pPr>
        <w:pStyle w:val="BodyText"/>
        <w:numPr>
          <w:ilvl w:val="0"/>
          <w:numId w:val="2"/>
        </w:numPr>
        <w:tabs>
          <w:tab w:val="clear" w:pos="1134"/>
          <w:tab w:val="left" w:pos="829" w:leader="none"/>
        </w:tabs>
        <w:bidi w:val="0"/>
        <w:spacing w:before="120" w:after="0"/>
        <w:ind w:hanging="283" w:start="829"/>
        <w:jc w:val="start"/>
        <w:rPr/>
      </w:pPr>
      <w:r>
        <w:rPr/>
        <w:t>A non-confirming stream is a result, not a defect. It can help classify the crisis pathway and prevent an over-scaled response.</w:t>
      </w:r>
    </w:p>
    <w:p>
      <w:pPr>
        <w:pStyle w:val="BodyText"/>
        <w:numPr>
          <w:ilvl w:val="0"/>
          <w:numId w:val="2"/>
        </w:numPr>
        <w:tabs>
          <w:tab w:val="clear" w:pos="1134"/>
          <w:tab w:val="left" w:pos="829" w:leader="none"/>
        </w:tabs>
        <w:bidi w:val="0"/>
        <w:spacing w:before="120" w:after="0"/>
        <w:ind w:hanging="283" w:start="829"/>
        <w:jc w:val="start"/>
        <w:rPr/>
      </w:pPr>
      <w:r>
        <w:rPr/>
        <w:t>The public release should show output-level values and documented limitations without disclosing raw queries, source-selection logic, model features, weights, or proprietary scoring methods.</w:t>
      </w:r>
    </w:p>
    <w:p>
      <w:pPr>
        <w:pStyle w:val="BodyText"/>
        <w:numPr>
          <w:ilvl w:val="0"/>
          <w:numId w:val="2"/>
        </w:numPr>
        <w:tabs>
          <w:tab w:val="clear" w:pos="1134"/>
          <w:tab w:val="left" w:pos="829" w:leader="none"/>
        </w:tabs>
        <w:bidi w:val="0"/>
        <w:ind w:hanging="283" w:start="829"/>
        <w:jc w:val="start"/>
        <w:rPr/>
      </w:pPr>
      <w:r>
        <w:rPr/>
        <w:t>Casualty and operational figures can change after initial reporting. Use dated attribution and avoid mixing figures from different reporting cutoffs.</w:t>
      </w:r>
    </w:p>
    <w:p>
      <w:pPr>
        <w:pStyle w:val="Heading2"/>
        <w:bidi w:val="0"/>
        <w:jc w:val="start"/>
        <w:rPr/>
      </w:pPr>
      <w:r>
        <w:rPr/>
        <w:t>Draft Conclusion</w:t>
      </w:r>
    </w:p>
    <w:p>
      <w:pPr>
        <w:pStyle w:val="BodyText"/>
        <w:bidi w:val="0"/>
        <w:jc w:val="start"/>
        <w:rPr/>
      </w:pPr>
      <w:r>
        <w:rPr/>
        <w:t>This case provides a structured test of whether Talosai improved decision timing and systemic understanding. The final conclusion should state exactly when the first supported signal appeared, which streams led or lagged, whether independent domains converged, and what operational posture the evidence justified. If advance warning is not supported, the conclusion should say so directly and explain the value Talosai provided through rapid confirmation, source-reliability interpretation, or sustained crisis monitoring.</w:t>
      </w:r>
    </w:p>
    <w:p>
      <w:pPr>
        <w:pStyle w:val="BodyText"/>
        <w:bidi w:val="0"/>
        <w:jc w:val="start"/>
        <w:rPr/>
      </w:pPr>
      <w:r>
        <w:rPr/>
        <w:t>[TALOSAI DATA REQUIRED: Insert a case-specific, evidence-based conclusion after completing the quantitative tables and figures.]</w:t>
      </w:r>
    </w:p>
    <w:p>
      <w:pPr>
        <w:pStyle w:val="Heading2"/>
        <w:bidi w:val="0"/>
        <w:jc w:val="start"/>
        <w:rPr/>
      </w:pPr>
      <w:r>
        <w:rPr/>
        <w:t>Case-Study Takeaway</w:t>
      </w:r>
    </w:p>
    <w:p>
      <w:pPr>
        <w:pStyle w:val="BodyText"/>
        <w:bidi w:val="0"/>
        <w:jc w:val="start"/>
        <w:rPr/>
      </w:pPr>
      <w:r>
        <w:rPr/>
        <w:t>[FINAL TAKEAWAY TO COMPLETE AFTER DATA INTEGRATION] Talosai’s value should be expressed as a calibrated finding about earlier decision timing, faster systemic confirmation, signal-reliability interpretation, or sustained posture management—whichever the archived outputs actually support.</w:t>
      </w:r>
    </w:p>
    <w:p>
      <w:pPr>
        <w:pStyle w:val="Heading2"/>
        <w:bidi w:val="0"/>
        <w:jc w:val="start"/>
        <w:rPr/>
      </w:pPr>
      <w:r>
        <w:rPr/>
        <w:t>Reference Sources Used for Event Anchors</w:t>
      </w:r>
    </w:p>
    <w:tbl>
      <w:tblPr>
        <w:tblW w:w="13638" w:type="dxa"/>
        <w:jc w:val="start"/>
        <w:tblInd w:w="0" w:type="dxa"/>
        <w:tblLayout w:type="fixed"/>
        <w:tblCellMar>
          <w:top w:w="28" w:type="dxa"/>
          <w:start w:w="28" w:type="dxa"/>
          <w:bottom w:w="28" w:type="dxa"/>
          <w:end w:w="28" w:type="dxa"/>
        </w:tblCellMar>
      </w:tblPr>
      <w:tblGrid>
        <w:gridCol w:w="631"/>
        <w:gridCol w:w="1621"/>
        <w:gridCol w:w="11386"/>
      </w:tblGrid>
      <w:tr>
        <w:trPr>
          <w:tblHeader w:val="true"/>
        </w:trPr>
        <w:tc>
          <w:tcPr>
            <w:tcW w:w="631" w:type="dxa"/>
            <w:tcBorders/>
            <w:vAlign w:val="center"/>
          </w:tcPr>
          <w:p>
            <w:pPr>
              <w:pStyle w:val="TableHeading"/>
              <w:suppressLineNumbers/>
              <w:shd w:fill="133B4A" w:val="clear"/>
              <w:bidi w:val="0"/>
              <w:spacing w:before="120" w:after="120"/>
              <w:jc w:val="start"/>
              <w:rPr/>
            </w:pPr>
            <w:r>
              <w:rPr/>
              <w:t>Ref.</w:t>
            </w:r>
          </w:p>
        </w:tc>
        <w:tc>
          <w:tcPr>
            <w:tcW w:w="1621" w:type="dxa"/>
            <w:tcBorders/>
            <w:vAlign w:val="center"/>
          </w:tcPr>
          <w:p>
            <w:pPr>
              <w:pStyle w:val="TableHeading"/>
              <w:suppressLineNumbers/>
              <w:shd w:fill="133B4A" w:val="clear"/>
              <w:bidi w:val="0"/>
              <w:spacing w:before="120" w:after="120"/>
              <w:jc w:val="start"/>
              <w:rPr/>
            </w:pPr>
            <w:r>
              <w:rPr/>
              <w:t>Source</w:t>
            </w:r>
          </w:p>
        </w:tc>
        <w:tc>
          <w:tcPr>
            <w:tcW w:w="11386" w:type="dxa"/>
            <w:tcBorders/>
            <w:vAlign w:val="center"/>
          </w:tcPr>
          <w:p>
            <w:pPr>
              <w:pStyle w:val="TableHeading"/>
              <w:suppressLineNumbers/>
              <w:shd w:fill="133B4A" w:val="clear"/>
              <w:bidi w:val="0"/>
              <w:spacing w:before="120" w:after="120"/>
              <w:jc w:val="start"/>
              <w:rPr/>
            </w:pPr>
            <w:r>
              <w:rPr/>
              <w:t>Link</w:t>
            </w:r>
          </w:p>
        </w:tc>
      </w:tr>
      <w:tr>
        <w:trPr/>
        <w:tc>
          <w:tcPr>
            <w:tcW w:w="631" w:type="dxa"/>
            <w:tcBorders/>
            <w:vAlign w:val="center"/>
          </w:tcPr>
          <w:p>
            <w:pPr>
              <w:pStyle w:val="TableContents"/>
              <w:bidi w:val="0"/>
              <w:spacing w:before="120" w:after="120"/>
              <w:jc w:val="start"/>
              <w:rPr/>
            </w:pPr>
            <w:r>
              <w:rPr/>
              <w:t>R1</w:t>
            </w:r>
          </w:p>
        </w:tc>
        <w:tc>
          <w:tcPr>
            <w:tcW w:w="1621" w:type="dxa"/>
            <w:tcBorders/>
            <w:vAlign w:val="center"/>
          </w:tcPr>
          <w:p>
            <w:pPr>
              <w:pStyle w:val="TableContents"/>
              <w:bidi w:val="0"/>
              <w:spacing w:before="120" w:after="120"/>
              <w:jc w:val="start"/>
              <w:rPr/>
            </w:pPr>
            <w:r>
              <w:rPr/>
              <w:t>International Monetary Fund, “China’s Real Estate Sector: Managing the Medium-Term Slowdown,” 2 February 2024.</w:t>
            </w:r>
          </w:p>
        </w:tc>
        <w:tc>
          <w:tcPr>
            <w:tcW w:w="11386" w:type="dxa"/>
            <w:tcBorders/>
            <w:vAlign w:val="center"/>
          </w:tcPr>
          <w:p>
            <w:pPr>
              <w:pStyle w:val="TableContents"/>
              <w:bidi w:val="0"/>
              <w:spacing w:before="120" w:after="120"/>
              <w:jc w:val="start"/>
              <w:rPr/>
            </w:pPr>
            <w:r>
              <w:rPr/>
              <w:t>https://www.imf.org/en/news/articles/2024/02/02/cf-chinas-real-estate-sector-managing-the-medium-term-slowdown</w:t>
            </w:r>
          </w:p>
        </w:tc>
      </w:tr>
      <w:tr>
        <w:trPr/>
        <w:tc>
          <w:tcPr>
            <w:tcW w:w="631" w:type="dxa"/>
            <w:tcBorders/>
            <w:vAlign w:val="center"/>
          </w:tcPr>
          <w:p>
            <w:pPr>
              <w:pStyle w:val="TableContents"/>
              <w:bidi w:val="0"/>
              <w:spacing w:before="120" w:after="120"/>
              <w:jc w:val="start"/>
              <w:rPr/>
            </w:pPr>
            <w:r>
              <w:rPr/>
              <w:t>R2</w:t>
            </w:r>
          </w:p>
        </w:tc>
        <w:tc>
          <w:tcPr>
            <w:tcW w:w="1621" w:type="dxa"/>
            <w:tcBorders/>
            <w:vAlign w:val="center"/>
          </w:tcPr>
          <w:p>
            <w:pPr>
              <w:pStyle w:val="TableContents"/>
              <w:bidi w:val="0"/>
              <w:spacing w:before="120" w:after="120"/>
              <w:jc w:val="start"/>
              <w:rPr/>
            </w:pPr>
            <w:r>
              <w:rPr/>
              <w:t>International Monetary Fund, People’s Republic of China: Selected Issues, Country Report No. 2024/050, February 2024.</w:t>
            </w:r>
          </w:p>
        </w:tc>
        <w:tc>
          <w:tcPr>
            <w:tcW w:w="11386" w:type="dxa"/>
            <w:tcBorders/>
            <w:vAlign w:val="center"/>
          </w:tcPr>
          <w:p>
            <w:pPr>
              <w:pStyle w:val="TableContents"/>
              <w:bidi w:val="0"/>
              <w:spacing w:before="120" w:after="120"/>
              <w:jc w:val="start"/>
              <w:rPr/>
            </w:pPr>
            <w:r>
              <w:rPr/>
              <w:t>https://www.imf.org/en/publications/cr/issues/2024/02/08/peoples-republic-of-china-selected-issues-544651</w:t>
            </w:r>
          </w:p>
        </w:tc>
      </w:tr>
      <w:tr>
        <w:trPr/>
        <w:tc>
          <w:tcPr>
            <w:tcW w:w="631" w:type="dxa"/>
            <w:tcBorders/>
            <w:vAlign w:val="center"/>
          </w:tcPr>
          <w:p>
            <w:pPr>
              <w:pStyle w:val="TableContents"/>
              <w:bidi w:val="0"/>
              <w:spacing w:before="120" w:after="120"/>
              <w:jc w:val="start"/>
              <w:rPr/>
            </w:pPr>
            <w:r>
              <w:rPr/>
              <w:t>R3</w:t>
            </w:r>
          </w:p>
        </w:tc>
        <w:tc>
          <w:tcPr>
            <w:tcW w:w="1621" w:type="dxa"/>
            <w:tcBorders/>
            <w:vAlign w:val="center"/>
          </w:tcPr>
          <w:p>
            <w:pPr>
              <w:pStyle w:val="TableContents"/>
              <w:bidi w:val="0"/>
              <w:spacing w:before="120" w:after="120"/>
              <w:jc w:val="start"/>
              <w:rPr/>
            </w:pPr>
            <w:r>
              <w:rPr/>
              <w:t>International Monetary Fund, People’s Republic of China: 2023 Article IV Consultation, Country Report No. 24/38.</w:t>
            </w:r>
          </w:p>
        </w:tc>
        <w:tc>
          <w:tcPr>
            <w:tcW w:w="11386" w:type="dxa"/>
            <w:tcBorders/>
            <w:vAlign w:val="center"/>
          </w:tcPr>
          <w:p>
            <w:pPr>
              <w:pStyle w:val="TableContents"/>
              <w:bidi w:val="0"/>
              <w:spacing w:before="120" w:after="120"/>
              <w:jc w:val="start"/>
              <w:rPr/>
            </w:pPr>
            <w:r>
              <w:rPr/>
              <w:t>https://www.imf.org/-/media/Files/Publications/CR/2024/English/1CHNEA2024001.ashx</w:t>
            </w:r>
          </w:p>
        </w:tc>
      </w:tr>
      <w:tr>
        <w:trPr/>
        <w:tc>
          <w:tcPr>
            <w:tcW w:w="631" w:type="dxa"/>
            <w:tcBorders/>
            <w:vAlign w:val="center"/>
          </w:tcPr>
          <w:p>
            <w:pPr>
              <w:pStyle w:val="TableContents"/>
              <w:bidi w:val="0"/>
              <w:spacing w:before="120" w:after="120"/>
              <w:jc w:val="start"/>
              <w:rPr/>
            </w:pPr>
            <w:r>
              <w:rPr/>
              <w:t>R4</w:t>
            </w:r>
          </w:p>
        </w:tc>
        <w:tc>
          <w:tcPr>
            <w:tcW w:w="1621" w:type="dxa"/>
            <w:tcBorders/>
            <w:vAlign w:val="center"/>
          </w:tcPr>
          <w:p>
            <w:pPr>
              <w:pStyle w:val="TableContents"/>
              <w:bidi w:val="0"/>
              <w:spacing w:before="120" w:after="120"/>
              <w:jc w:val="start"/>
              <w:rPr/>
            </w:pPr>
            <w:r>
              <w:rPr/>
              <w:t>World Bank, “Sustained Policy Support and Deeper Structural Reforms to Revive China’s Growth Momentum,” 14 December 2023.</w:t>
            </w:r>
          </w:p>
        </w:tc>
        <w:tc>
          <w:tcPr>
            <w:tcW w:w="11386" w:type="dxa"/>
            <w:tcBorders/>
            <w:vAlign w:val="center"/>
          </w:tcPr>
          <w:p>
            <w:pPr>
              <w:pStyle w:val="TableContents"/>
              <w:bidi w:val="0"/>
              <w:spacing w:before="120" w:after="120"/>
              <w:jc w:val="start"/>
              <w:rPr/>
            </w:pPr>
            <w:r>
              <w:rPr/>
              <w:t>https://www.worldbank.org/en/news/press-release/2023/12/14/sustained-policy-support-and-deeper-structural-reforms-to-revive-china-s-growth-momentum-world-bank-report</w:t>
            </w:r>
          </w:p>
        </w:tc>
      </w:tr>
      <w:tr>
        <w:trPr/>
        <w:tc>
          <w:tcPr>
            <w:tcW w:w="631" w:type="dxa"/>
            <w:tcBorders/>
            <w:vAlign w:val="center"/>
          </w:tcPr>
          <w:p>
            <w:pPr>
              <w:pStyle w:val="TableContents"/>
              <w:bidi w:val="0"/>
              <w:spacing w:before="120" w:after="120"/>
              <w:jc w:val="start"/>
              <w:rPr/>
            </w:pPr>
            <w:r>
              <w:rPr/>
              <w:t>R5</w:t>
            </w:r>
          </w:p>
        </w:tc>
        <w:tc>
          <w:tcPr>
            <w:tcW w:w="1621" w:type="dxa"/>
            <w:tcBorders/>
            <w:vAlign w:val="center"/>
          </w:tcPr>
          <w:p>
            <w:pPr>
              <w:pStyle w:val="TableContents"/>
              <w:bidi w:val="0"/>
              <w:spacing w:before="120" w:after="120"/>
              <w:jc w:val="start"/>
              <w:rPr/>
            </w:pPr>
            <w:r>
              <w:rPr/>
              <w:t>International Monetary Fund Working Paper, “Chinese Housing Market Sentiment—A Generative AI Approach,” 2024.</w:t>
            </w:r>
          </w:p>
        </w:tc>
        <w:tc>
          <w:tcPr>
            <w:tcW w:w="11386" w:type="dxa"/>
            <w:tcBorders/>
            <w:vAlign w:val="center"/>
          </w:tcPr>
          <w:p>
            <w:pPr>
              <w:pStyle w:val="TableContents"/>
              <w:bidi w:val="0"/>
              <w:spacing w:before="120" w:after="120"/>
              <w:jc w:val="start"/>
              <w:rPr/>
            </w:pPr>
            <w:r>
              <w:rPr/>
              <w:t>https://www.imf.org/-/media/files/publications/wp/2024/english/wpiea2024264-print-pdf.pdf</w:t>
            </w:r>
          </w:p>
        </w:tc>
      </w:tr>
    </w:tbl>
    <w:p>
      <w:pPr>
        <w:pStyle w:val="BodyTextend"/>
        <w:bidi w:val="0"/>
        <w:spacing w:before="600" w:after="120"/>
        <w:rPr/>
      </w:pPr>
      <w:r>
        <w:rPr/>
        <w:t>End of draft manuscript</w:t>
      </w:r>
    </w:p>
    <w:sectPr>
      <w:type w:val="nextPage"/>
      <w:pgSz w:w="11906" w:h="16838"/>
      <w:pgMar w:left="1037" w:right="1037" w:gutter="0" w:header="0" w:top="1037" w:footer="0" w:bottom="1037"/>
      <w:pgNumType w:fmt="decimal"/>
      <w:formProt w:val="false"/>
      <w:textDirection w:val="lrTb"/>
      <w:docGrid w:type="default" w:linePitch="600" w:charSpace="3891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altName w:val="Calibri"/>
    <w:charset w:val="01" w:characterSet="utf-8"/>
    <w:family w:val="auto"/>
    <w:pitch w:val="default"/>
  </w:font>
  <w:font w:name="Noto Sans">
    <w:charset w:val="01" w:characterSet="utf-8"/>
    <w:family w:val="auto"/>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24"/>
    </w:pPr>
    <w:rPr>
      <w:rFonts w:ascii="Aptos;Calibri;Arial;sans-serif" w:hAnsi="Aptos;Calibri;Arial;sans-serif" w:eastAsia="Aptos;Calibri;Arial;sans-serif" w:cs="Aptos;Calibri;Arial;sans-serif"/>
      <w:color w:val="1D2A32"/>
      <w:sz w:val="21"/>
      <w:szCs w:val="21"/>
      <w:lang w:val="en-US" w:eastAsia="zh-CN" w:bidi="hi-IN"/>
    </w:rPr>
  </w:style>
  <w:style w:type="paragraph" w:styleId="Heading1">
    <w:name w:val="Heading 1"/>
    <w:basedOn w:val="Heading"/>
    <w:next w:val="BodyText"/>
    <w:qFormat/>
    <w:pPr>
      <w:pBdr>
        <w:bottom w:val="single" w:sz="18" w:space="12" w:color="C49A5A"/>
      </w:pBdr>
      <w:spacing w:before="240" w:after="240"/>
    </w:pPr>
    <w:rPr>
      <w:rFonts w:ascii="Noto Sans" w:hAnsi="Noto Sans"/>
      <w:b/>
      <w:bCs/>
      <w:color w:val="133B4A"/>
      <w:sz w:val="50"/>
      <w:szCs w:val="50"/>
    </w:rPr>
  </w:style>
  <w:style w:type="paragraph" w:styleId="Heading2">
    <w:name w:val="Heading 2"/>
    <w:basedOn w:val="Heading"/>
    <w:next w:val="BodyText"/>
    <w:qFormat/>
    <w:pPr>
      <w:keepNext w:val="true"/>
      <w:pBdr>
        <w:bottom w:val="single" w:sz="2" w:space="4" w:color="C9D4D8"/>
      </w:pBdr>
      <w:spacing w:before="440" w:after="120"/>
      <w:outlineLvl w:val="1"/>
    </w:pPr>
    <w:rPr>
      <w:rFonts w:ascii="Liberation Serif" w:hAnsi="Liberation Serif" w:eastAsia="Noto Serif CJK SC" w:cs="Noto Sans Devanagari"/>
      <w:b/>
      <w:bCs/>
      <w:color w:val="133B4A"/>
      <w:sz w:val="32"/>
      <w:szCs w:val="32"/>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1B5F78"/>
      <w:u w:val="single"/>
    </w:rPr>
  </w:style>
  <w:style w:type="character" w:styleId="Bullets">
    <w:name w:val="Bullets"/>
    <w:qFormat/>
    <w:rPr>
      <w:rFonts w:ascii="OpenSymbol" w:hAnsi="OpenSymbol" w:eastAsia="OpenSymbol" w:cs="OpenSymbol"/>
    </w:rPr>
  </w:style>
  <w:style w:type="character" w:styleId="FollowedHyperlink">
    <w:name w:val="FollowedHyperlink"/>
    <w:rPr>
      <w:color w:val="1B5F78"/>
      <w:u w:val="single"/>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120" w:after="120"/>
      <w:ind w:start="120" w:end="120"/>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brand">
    <w:name w:val="Body Text.brand"/>
    <w:basedOn w:val="BodyText"/>
    <w:qFormat/>
    <w:pPr>
      <w:spacing w:before="120" w:after="200"/>
    </w:pPr>
    <w:rPr>
      <w:b/>
      <w:bCs/>
      <w:color w:val="C49A5A"/>
      <w:spacing w:val="60"/>
      <w:sz w:val="26"/>
      <w:szCs w:val="26"/>
    </w:rPr>
  </w:style>
  <w:style w:type="paragraph" w:styleId="BodyTextbyline">
    <w:name w:val="Body Text.byline"/>
    <w:basedOn w:val="BodyText"/>
    <w:qFormat/>
    <w:pPr/>
    <w:rPr>
      <w:b/>
      <w:bCs/>
      <w:sz w:val="24"/>
      <w:szCs w:val="24"/>
    </w:rPr>
  </w:style>
  <w:style w:type="paragraph" w:styleId="BodyTextdraft">
    <w:name w:val="Body Text.draft"/>
    <w:basedOn w:val="BodyText"/>
    <w:qFormat/>
    <w:pPr/>
    <w:rPr>
      <w:b/>
      <w:bCs/>
      <w:color w:val="9B3D2F"/>
    </w:rPr>
  </w:style>
  <w:style w:type="paragraph" w:styleId="BodyTextwindow">
    <w:name w:val="Body Text.window"/>
    <w:basedOn w:val="BodyText"/>
    <w:qFormat/>
    <w:pPr>
      <w:spacing w:before="120" w:after="120"/>
    </w:pPr>
    <w:rPr>
      <w:i/>
      <w:iCs/>
      <w:color w:val="53656D"/>
    </w:rPr>
  </w:style>
  <w:style w:type="paragraph" w:styleId="BodyTextrunningtitle">
    <w:name w:val="Body Text.runningtitle"/>
    <w:basedOn w:val="BodyText"/>
    <w:qFormat/>
    <w:pPr>
      <w:pBdr>
        <w:bottom w:val="single" w:sz="2" w:space="4" w:color="C49A5A"/>
      </w:pBdr>
      <w:spacing w:before="120" w:after="320"/>
    </w:pPr>
    <w:rPr>
      <w:b/>
      <w:bCs/>
      <w:color w:val="64767D"/>
      <w:spacing w:val="20"/>
      <w:sz w:val="17"/>
      <w:szCs w:val="17"/>
    </w:rPr>
  </w:style>
  <w:style w:type="paragraph" w:styleId="BodyTextnotice">
    <w:name w:val="Body Text.notice"/>
    <w:basedOn w:val="BodyText"/>
    <w:qFormat/>
    <w:pPr>
      <w:pBdr>
        <w:top w:val="single" w:sz="2" w:space="10" w:color="D9AD55"/>
        <w:left w:val="single" w:sz="2" w:space="10" w:color="D9AD55"/>
        <w:bottom w:val="single" w:sz="2" w:space="10" w:color="D9AD55"/>
        <w:right w:val="single" w:sz="2" w:space="10" w:color="D9AD55"/>
      </w:pBdr>
      <w:shd w:fill="FFF5D9" w:val="clear"/>
      <w:spacing w:before="240" w:after="400"/>
      <w:ind w:start="240" w:end="240"/>
    </w:pPr>
    <w:rPr/>
  </w:style>
  <w:style w:type="paragraph" w:styleId="TableHeading">
    <w:name w:val="Table Heading"/>
    <w:basedOn w:val="TableContents"/>
    <w:qFormat/>
    <w:pPr>
      <w:suppressLineNumbers/>
      <w:shd w:fill="133B4A" w:val="clear"/>
      <w:jc w:val="start"/>
    </w:pPr>
    <w:rPr>
      <w:b/>
      <w:bCs/>
      <w:color w:val="FFFFFF"/>
    </w:rPr>
  </w:style>
  <w:style w:type="paragraph" w:styleId="BodyTextemphasis">
    <w:name w:val="Body Text.emphasis"/>
    <w:basedOn w:val="BodyText"/>
    <w:qFormat/>
    <w:pPr>
      <w:pBdr>
        <w:left w:val="single" w:sz="24" w:space="8" w:color="2E6F80"/>
      </w:pBdr>
      <w:shd w:fill="EAF2F4" w:val="clear"/>
    </w:pPr>
    <w:rPr/>
  </w:style>
  <w:style w:type="paragraph" w:styleId="BodyTextend">
    <w:name w:val="Body Text.end"/>
    <w:basedOn w:val="BodyText"/>
    <w:qFormat/>
    <w:pPr>
      <w:spacing w:before="600" w:after="120"/>
      <w:jc w:val="center"/>
    </w:pPr>
    <w:rPr>
      <w:i/>
      <w:iCs/>
      <w:color w:val="666677"/>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cover.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Talosai Case Study: China’s Real Estate Crisis and Prolonged Property-Sector Adjustment</dc:title>
</cp:coreProperties>
</file>

<file path=docProps/custom.xml><?xml version="1.0" encoding="utf-8"?>
<Properties xmlns="http://schemas.openxmlformats.org/officeDocument/2006/custom-properties" xmlns:vt="http://schemas.openxmlformats.org/officeDocument/2006/docPropsVTypes"/>
</file>