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odyTextbrand"/>
        <w:bidi w:val="0"/>
        <w:spacing w:before="120" w:after="200"/>
        <w:jc w:val="start"/>
        <w:rPr/>
      </w:pPr>
      <w:r>
        <w:rPr/>
        <w:t>TALOSAI</w:t>
      </w:r>
    </w:p>
    <w:p>
      <w:pPr>
        <w:pStyle w:val="Heading1"/>
        <w:bidi w:val="0"/>
        <w:jc w:val="start"/>
        <w:rPr/>
      </w:pPr>
      <w:r>
        <w:rPr/>
        <w:t>Talosai Case Study: Israel–Hamas War Escalation in October 2023</w:t>
      </w:r>
    </w:p>
    <w:p>
      <w:pPr>
        <w:pStyle w:val="BodyText"/>
        <w:bidi w:val="0"/>
        <w:jc w:val="start"/>
        <w:rPr/>
      </w:pPr>
      <w:r>
        <w:rPr/>
        <w:drawing>
          <wp:inline distT="0" distB="0" distL="0" distR="0">
            <wp:extent cx="6035040" cy="3108960"/>
            <wp:effectExtent l="0" t="0" r="0" b="0"/>
            <wp:docPr id="1" name="Image1" descr="" title="Cover image place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Cover image placeholder"/>
                    <pic:cNvPicPr>
                      <a:picLocks noChangeAspect="1" noChangeArrowheads="1"/>
                    </pic:cNvPicPr>
                  </pic:nvPicPr>
                  <pic:blipFill>
                    <a:blip r:embed="rId2"/>
                    <a:srcRect l="-63" t="-112" r="-63" b="-112"/>
                    <a:stretch>
                      <a:fillRect/>
                    </a:stretch>
                  </pic:blipFill>
                  <pic:spPr bwMode="auto">
                    <a:xfrm>
                      <a:off x="0" y="0"/>
                      <a:ext cx="6035040" cy="3108960"/>
                    </a:xfrm>
                    <a:prstGeom prst="rect">
                      <a:avLst/>
                    </a:prstGeom>
                    <a:ln>
                      <a:solidFill>
                        <a:srgbClr val="91A3AA"/>
                      </a:solidFill>
                    </a:ln>
                  </pic:spPr>
                </pic:pic>
              </a:graphicData>
            </a:graphic>
          </wp:inline>
        </w:drawing>
      </w:r>
      <w:r>
        <w:rPr/>
        <w:t xml:space="preserve"> </w:t>
      </w:r>
    </w:p>
    <w:p>
      <w:pPr>
        <w:pStyle w:val="BodyTextbyline"/>
        <w:bidi w:val="0"/>
        <w:jc w:val="start"/>
        <w:rPr/>
      </w:pPr>
      <w:r>
        <w:rPr/>
        <w:t>Prepared by Mr. Terry M. Rauch II, MBA, LLM</w:t>
      </w:r>
    </w:p>
    <w:p>
      <w:pPr>
        <w:pStyle w:val="BodyTextdraft"/>
        <w:bidi w:val="0"/>
        <w:jc w:val="start"/>
        <w:rPr/>
      </w:pPr>
      <w:r>
        <w:rPr/>
        <w:t>Public Release Version — Design Final · Historical Talosai Data Integration Pending</w:t>
      </w:r>
    </w:p>
    <w:p>
      <w:pPr>
        <w:pStyle w:val="BodyTextwindow"/>
        <w:bidi w:val="0"/>
        <w:jc w:val="start"/>
        <w:rPr/>
      </w:pPr>
      <w:r>
        <w:rPr/>
        <w:t>Suggested analytical window: June–October 2023</w:t>
      </w:r>
      <w:r>
        <w:br w:type="page"/>
      </w:r>
    </w:p>
    <w:p>
      <w:pPr>
        <w:pStyle w:val="BodyTextrunningtitle"/>
        <w:bidi w:val="0"/>
        <w:jc w:val="start"/>
        <w:rPr/>
      </w:pPr>
      <w:r>
        <w:rPr/>
        <w:t>TALOSAI CASE STUDY · PUBLIC RELEASE MANUSCRIPT</w:t>
      </w:r>
    </w:p>
    <w:p>
      <w:pPr>
        <w:pStyle w:val="BodyTextnotice"/>
        <w:bidi w:val="0"/>
        <w:jc w:val="start"/>
        <w:rPr/>
      </w:pPr>
      <w:r>
        <w:rPr>
          <w:b/>
        </w:rPr>
        <w:t>Editorial status:</w:t>
      </w:r>
      <w:r>
        <w:rPr/>
        <w:t xml:space="preserve"> This document provides researched narrative text, event anchors, analytical questions, decision guidance, and source references. It intentionally does not invent Talosai scores, lead times, correlations, forecast bands, or chart results. Bracketed fields must be completed from archived Talosai outputs before public release.</w:t>
      </w:r>
    </w:p>
    <w:p>
      <w:pPr>
        <w:pStyle w:val="Heading2"/>
        <w:bidi w:val="0"/>
        <w:jc w:val="start"/>
        <w:rPr/>
      </w:pPr>
      <w:r>
        <w:rPr/>
        <w:t>Bottom line</w:t>
      </w:r>
    </w:p>
    <w:p>
      <w:pPr>
        <w:pStyle w:val="BodyText"/>
        <w:bidi w:val="0"/>
        <w:jc w:val="start"/>
        <w:rPr/>
      </w:pPr>
      <w:r>
        <w:rPr/>
        <w:t>This manuscript is designed to test Talosai’s performance in a sudden, high-consequence security rupture. The central question is whether any defensible pre-event warning appeared before 7 October 2023, or whether Talosai’s strongest value was immediate detection, information-source comparison, rapid cross-domain confirmation, and decision support as the attack became a wider war and humanitarian emergency.</w:t>
      </w:r>
    </w:p>
    <w:tbl>
      <w:tblPr>
        <w:tblW w:w="10082" w:type="dxa"/>
        <w:jc w:val="start"/>
        <w:tblInd w:w="0" w:type="dxa"/>
        <w:tblLayout w:type="fixed"/>
        <w:tblCellMar>
          <w:top w:w="28" w:type="dxa"/>
          <w:start w:w="28" w:type="dxa"/>
          <w:bottom w:w="28" w:type="dxa"/>
          <w:end w:w="28" w:type="dxa"/>
        </w:tblCellMar>
      </w:tblPr>
      <w:tblGrid>
        <w:gridCol w:w="3226"/>
        <w:gridCol w:w="6856"/>
      </w:tblGrid>
      <w:tr>
        <w:trPr>
          <w:tblHeader w:val="true"/>
        </w:trPr>
        <w:tc>
          <w:tcPr>
            <w:tcW w:w="3226" w:type="dxa"/>
            <w:tcBorders/>
            <w:vAlign w:val="center"/>
          </w:tcPr>
          <w:p>
            <w:pPr>
              <w:pStyle w:val="TableHeading"/>
              <w:suppressLineNumbers/>
              <w:shd w:fill="133B4A" w:val="clear"/>
              <w:bidi w:val="0"/>
              <w:spacing w:before="120" w:after="120"/>
              <w:jc w:val="start"/>
              <w:rPr/>
            </w:pPr>
            <w:r>
              <w:rPr/>
              <w:t>Metric slot</w:t>
            </w:r>
          </w:p>
        </w:tc>
        <w:tc>
          <w:tcPr>
            <w:tcW w:w="6856" w:type="dxa"/>
            <w:tcBorders/>
            <w:vAlign w:val="center"/>
          </w:tcPr>
          <w:p>
            <w:pPr>
              <w:pStyle w:val="TableHeading"/>
              <w:suppressLineNumbers/>
              <w:shd w:fill="133B4A" w:val="clear"/>
              <w:bidi w:val="0"/>
              <w:spacing w:before="120" w:after="120"/>
              <w:jc w:val="start"/>
              <w:rPr/>
            </w:pPr>
            <w:r>
              <w:rPr/>
              <w:t>Required insertion</w:t>
            </w:r>
          </w:p>
        </w:tc>
      </w:tr>
      <w:tr>
        <w:trPr/>
        <w:tc>
          <w:tcPr>
            <w:tcW w:w="3226" w:type="dxa"/>
            <w:tcBorders/>
            <w:vAlign w:val="center"/>
          </w:tcPr>
          <w:p>
            <w:pPr>
              <w:pStyle w:val="TableContents"/>
              <w:bidi w:val="0"/>
              <w:spacing w:before="120" w:after="120"/>
              <w:jc w:val="start"/>
              <w:rPr/>
            </w:pPr>
            <w:r>
              <w:rPr/>
              <w:t>Earliest defensible warning</w:t>
            </w:r>
          </w:p>
        </w:tc>
        <w:tc>
          <w:tcPr>
            <w:tcW w:w="6856" w:type="dxa"/>
            <w:tcBorders/>
            <w:vAlign w:val="center"/>
          </w:tcPr>
          <w:p>
            <w:pPr>
              <w:pStyle w:val="TableContents"/>
              <w:bidi w:val="0"/>
              <w:spacing w:before="120" w:after="120"/>
              <w:jc w:val="start"/>
              <w:rPr/>
            </w:pPr>
            <w:r>
              <w:rPr/>
              <w:t>[TALOSAI DATA REQUIRED: date, signal state, and verified lead time]</w:t>
            </w:r>
          </w:p>
        </w:tc>
      </w:tr>
      <w:tr>
        <w:trPr/>
        <w:tc>
          <w:tcPr>
            <w:tcW w:w="3226" w:type="dxa"/>
            <w:tcBorders/>
            <w:vAlign w:val="center"/>
          </w:tcPr>
          <w:p>
            <w:pPr>
              <w:pStyle w:val="TableContents"/>
              <w:bidi w:val="0"/>
              <w:spacing w:before="120" w:after="120"/>
              <w:jc w:val="start"/>
              <w:rPr/>
            </w:pPr>
            <w:r>
              <w:rPr/>
              <w:t>Peak integrated risk</w:t>
            </w:r>
          </w:p>
        </w:tc>
        <w:tc>
          <w:tcPr>
            <w:tcW w:w="6856" w:type="dxa"/>
            <w:tcBorders/>
            <w:vAlign w:val="center"/>
          </w:tcPr>
          <w:p>
            <w:pPr>
              <w:pStyle w:val="TableContents"/>
              <w:bidi w:val="0"/>
              <w:spacing w:before="120" w:after="120"/>
              <w:jc w:val="start"/>
              <w:rPr/>
            </w:pPr>
            <w:r>
              <w:rPr/>
              <w:t>[TALOSAI DATA REQUIRED: value and date]</w:t>
            </w:r>
          </w:p>
        </w:tc>
      </w:tr>
      <w:tr>
        <w:trPr/>
        <w:tc>
          <w:tcPr>
            <w:tcW w:w="3226" w:type="dxa"/>
            <w:tcBorders/>
            <w:vAlign w:val="center"/>
          </w:tcPr>
          <w:p>
            <w:pPr>
              <w:pStyle w:val="TableContents"/>
              <w:bidi w:val="0"/>
              <w:spacing w:before="120" w:after="120"/>
              <w:jc w:val="start"/>
              <w:rPr/>
            </w:pPr>
            <w:r>
              <w:rPr/>
              <w:t>Strongest confirming stream</w:t>
            </w:r>
          </w:p>
        </w:tc>
        <w:tc>
          <w:tcPr>
            <w:tcW w:w="6856" w:type="dxa"/>
            <w:tcBorders/>
            <w:vAlign w:val="center"/>
          </w:tcPr>
          <w:p>
            <w:pPr>
              <w:pStyle w:val="TableContents"/>
              <w:bidi w:val="0"/>
              <w:spacing w:before="120" w:after="120"/>
              <w:jc w:val="start"/>
              <w:rPr/>
            </w:pPr>
            <w:r>
              <w:rPr/>
              <w:t>[TALOSAI DATA REQUIRED: stream, value, and date]</w:t>
            </w:r>
          </w:p>
        </w:tc>
      </w:tr>
      <w:tr>
        <w:trPr/>
        <w:tc>
          <w:tcPr>
            <w:tcW w:w="3226" w:type="dxa"/>
            <w:tcBorders/>
            <w:vAlign w:val="center"/>
          </w:tcPr>
          <w:p>
            <w:pPr>
              <w:pStyle w:val="TableContents"/>
              <w:bidi w:val="0"/>
              <w:spacing w:before="120" w:after="120"/>
              <w:jc w:val="start"/>
              <w:rPr/>
            </w:pPr>
            <w:r>
              <w:rPr/>
              <w:t>Strongest convergence finding</w:t>
            </w:r>
          </w:p>
        </w:tc>
        <w:tc>
          <w:tcPr>
            <w:tcW w:w="6856" w:type="dxa"/>
            <w:tcBorders/>
            <w:vAlign w:val="center"/>
          </w:tcPr>
          <w:p>
            <w:pPr>
              <w:pStyle w:val="TableContents"/>
              <w:bidi w:val="0"/>
              <w:spacing w:before="120" w:after="120"/>
              <w:jc w:val="start"/>
              <w:rPr/>
            </w:pPr>
            <w:r>
              <w:rPr/>
              <w:t>[TALOSAI DATA REQUIRED: domains/correlation and tested window]</w:t>
            </w:r>
          </w:p>
        </w:tc>
      </w:tr>
    </w:tbl>
    <w:p>
      <w:pPr>
        <w:pStyle w:val="Heading2"/>
        <w:bidi w:val="0"/>
        <w:jc w:val="start"/>
        <w:rPr/>
      </w:pPr>
      <w:r>
        <w:rPr/>
        <w:t>Executive Summary</w:t>
      </w:r>
    </w:p>
    <w:p>
      <w:pPr>
        <w:pStyle w:val="BodyText"/>
        <w:numPr>
          <w:ilvl w:val="0"/>
          <w:numId w:val="1"/>
        </w:numPr>
        <w:tabs>
          <w:tab w:val="clear" w:pos="1134"/>
          <w:tab w:val="left" w:pos="829" w:leader="none"/>
        </w:tabs>
        <w:bidi w:val="0"/>
        <w:spacing w:before="120" w:after="0"/>
        <w:ind w:hanging="283" w:start="829"/>
        <w:jc w:val="start"/>
        <w:rPr/>
      </w:pPr>
      <w:r>
        <w:rPr/>
        <w:t>On 7 October 2023, Hamas and other Palestinian armed groups launched large-scale rocket fire and ground incursions into Israel, killing and abducting civilians and members of the Israeli security forces. Israel declared a state of war and launched intensive strikes on Gaza.</w:t>
      </w:r>
    </w:p>
    <w:p>
      <w:pPr>
        <w:pStyle w:val="BodyText"/>
        <w:numPr>
          <w:ilvl w:val="0"/>
          <w:numId w:val="1"/>
        </w:numPr>
        <w:tabs>
          <w:tab w:val="clear" w:pos="1134"/>
          <w:tab w:val="left" w:pos="829" w:leader="none"/>
        </w:tabs>
        <w:bidi w:val="0"/>
        <w:spacing w:before="120" w:after="0"/>
        <w:ind w:hanging="283" w:start="829"/>
        <w:jc w:val="start"/>
        <w:rPr/>
      </w:pPr>
      <w:r>
        <w:rPr/>
        <w:t>The event created simultaneous security, governance, humanitarian, psychological, market, travel, communications, and regional-escalation risks. Those domains did not necessarily move at the same time or with the same reliability.</w:t>
      </w:r>
    </w:p>
    <w:p>
      <w:pPr>
        <w:pStyle w:val="BodyText"/>
        <w:numPr>
          <w:ilvl w:val="0"/>
          <w:numId w:val="1"/>
        </w:numPr>
        <w:tabs>
          <w:tab w:val="clear" w:pos="1134"/>
          <w:tab w:val="left" w:pos="829" w:leader="none"/>
        </w:tabs>
        <w:bidi w:val="0"/>
        <w:spacing w:before="120" w:after="0"/>
        <w:ind w:hanging="283" w:start="829"/>
        <w:jc w:val="start"/>
        <w:rPr/>
      </w:pPr>
      <w:r>
        <w:rPr/>
        <w:t>This is a demanding test for any warning platform. A public-release case study must not retrofit ordinary background tension into a precise prediction. The first task is to determine whether archived Talosai outputs contained abnormal pre-event movement that was visible at the time.</w:t>
      </w:r>
    </w:p>
    <w:p>
      <w:pPr>
        <w:pStyle w:val="BodyText"/>
        <w:numPr>
          <w:ilvl w:val="0"/>
          <w:numId w:val="1"/>
        </w:numPr>
        <w:tabs>
          <w:tab w:val="clear" w:pos="1134"/>
          <w:tab w:val="left" w:pos="829" w:leader="none"/>
        </w:tabs>
        <w:bidi w:val="0"/>
        <w:spacing w:before="120" w:after="0"/>
        <w:ind w:hanging="283" w:start="829"/>
        <w:jc w:val="start"/>
        <w:rPr/>
      </w:pPr>
      <w:r>
        <w:rPr/>
        <w:t>If a clean pre-event signal is not supported, the case can still demonstrate rapid situational intelligence: detection of narrative acceleration, public-concern spikes, source divergence, infrastructure and humanitarian pressure, financial confirmation, and regional spillover.</w:t>
      </w:r>
    </w:p>
    <w:p>
      <w:pPr>
        <w:pStyle w:val="BodyText"/>
        <w:numPr>
          <w:ilvl w:val="0"/>
          <w:numId w:val="1"/>
        </w:numPr>
        <w:tabs>
          <w:tab w:val="clear" w:pos="1134"/>
          <w:tab w:val="left" w:pos="829" w:leader="none"/>
        </w:tabs>
        <w:bidi w:val="0"/>
        <w:ind w:hanging="283" w:start="829"/>
        <w:jc w:val="start"/>
        <w:rPr/>
      </w:pPr>
      <w:r>
        <w:rPr/>
        <w:t>Decision value includes staff accountability, travel suspension, shelter and site posture, communications redundancy, medical and humanitarian access, supply-chain exposure, and escalation monitoring.</w:t>
      </w:r>
    </w:p>
    <w:p>
      <w:pPr>
        <w:pStyle w:val="Heading2"/>
        <w:bidi w:val="0"/>
        <w:jc w:val="start"/>
        <w:rPr/>
      </w:pPr>
      <w:r>
        <w:rPr/>
        <w:t>Case Context and Validation Objective</w:t>
      </w:r>
    </w:p>
    <w:p>
      <w:pPr>
        <w:pStyle w:val="BodyText"/>
        <w:bidi w:val="0"/>
        <w:jc w:val="start"/>
        <w:rPr/>
      </w:pPr>
      <w:r>
        <w:rPr/>
        <w:t>The 7 October attack produced a discontinuous change in the operating environment. Thousands of rockets were fired, armed groups crossed into Israeli territory, people were killed or abducted, and military operations escalated immediately.</w:t>
      </w:r>
    </w:p>
    <w:p>
      <w:pPr>
        <w:pStyle w:val="BodyText"/>
        <w:bidi w:val="0"/>
        <w:jc w:val="start"/>
        <w:rPr/>
      </w:pPr>
      <w:r>
        <w:rPr/>
        <w:t>Information reliability became a central analytical issue. Casualty figures, battlefield claims, images, and narratives moved rapidly through domestic, regional, international, and social-media channels. Talosai should measure not just volume, but source balance, divergence, persistence, and corroboration.</w:t>
      </w:r>
    </w:p>
    <w:p>
      <w:pPr>
        <w:pStyle w:val="BodyText"/>
        <w:bidi w:val="0"/>
        <w:jc w:val="start"/>
        <w:rPr/>
      </w:pPr>
      <w:r>
        <w:rPr/>
        <w:t>Public-search behavior may be one of the fastest confirming streams but can also be distorted by fear, outages, displacement, language, and unequal access. Market or currency pressure may confirm regional concern without precisely timing security events.</w:t>
      </w:r>
    </w:p>
    <w:p>
      <w:pPr>
        <w:pStyle w:val="BodyText"/>
        <w:bidi w:val="0"/>
        <w:jc w:val="start"/>
        <w:rPr/>
      </w:pPr>
      <w:r>
        <w:rPr/>
        <w:t>The strongest defensible Talosai claim may be rapid systemic confirmation rather than long-lead prediction. The final language should follow the archived evidence.</w:t>
      </w:r>
    </w:p>
    <w:p>
      <w:pPr>
        <w:pStyle w:val="BodyTextemphasis"/>
        <w:bidi w:val="0"/>
        <w:jc w:val="start"/>
        <w:rPr/>
      </w:pPr>
      <w:r>
        <w:rPr/>
        <w:t>The public-release conclusion should be selected only after the archived data are reviewed. Three outcomes are acceptable: (1) supported advance warning, (2) near-event detection and rapid confirmation, or (3) a calibrated null finding in which Talosai did not materially lead the event but improved interpretation and response after it began. This discipline makes the case study credible.</w:t>
      </w:r>
    </w:p>
    <w:p>
      <w:pPr>
        <w:pStyle w:val="Heading2"/>
        <w:bidi w:val="0"/>
        <w:jc w:val="start"/>
        <w:rPr/>
      </w:pPr>
      <w:r>
        <w:rPr/>
        <w:t>Why This Distinguishes Talosai</w:t>
      </w:r>
    </w:p>
    <w:p>
      <w:pPr>
        <w:pStyle w:val="BodyText"/>
        <w:bidi w:val="0"/>
        <w:jc w:val="start"/>
        <w:rPr/>
      </w:pPr>
      <w:r>
        <w:rPr/>
        <w:t>Talosai’s intended differentiator is not a larger list of headlines. It is the ability to place independent signal streams in relation to historical baselines and to one another, identify when their direction or reliability changes, and translate those changes into a decision posture. The case should answer the following questions without disclosing proprietary scoring mechanics.</w:t>
      </w:r>
    </w:p>
    <w:tbl>
      <w:tblPr>
        <w:tblW w:w="19983" w:type="dxa"/>
        <w:jc w:val="start"/>
        <w:tblInd w:w="0" w:type="dxa"/>
        <w:tblLayout w:type="fixed"/>
        <w:tblCellMar>
          <w:top w:w="28" w:type="dxa"/>
          <w:start w:w="28" w:type="dxa"/>
          <w:bottom w:w="28" w:type="dxa"/>
          <w:end w:w="28" w:type="dxa"/>
        </w:tblCellMar>
      </w:tblPr>
      <w:tblGrid>
        <w:gridCol w:w="3019"/>
        <w:gridCol w:w="5884"/>
        <w:gridCol w:w="11080"/>
      </w:tblGrid>
      <w:tr>
        <w:trPr>
          <w:tblHeader w:val="true"/>
        </w:trPr>
        <w:tc>
          <w:tcPr>
            <w:tcW w:w="3019" w:type="dxa"/>
            <w:tcBorders/>
            <w:vAlign w:val="center"/>
          </w:tcPr>
          <w:p>
            <w:pPr>
              <w:pStyle w:val="TableHeading"/>
              <w:suppressLineNumbers/>
              <w:shd w:fill="133B4A" w:val="clear"/>
              <w:bidi w:val="0"/>
              <w:spacing w:before="120" w:after="120"/>
              <w:jc w:val="start"/>
              <w:rPr/>
            </w:pPr>
            <w:r>
              <w:rPr/>
              <w:t>Risk-intelligence question</w:t>
            </w:r>
          </w:p>
        </w:tc>
        <w:tc>
          <w:tcPr>
            <w:tcW w:w="5884" w:type="dxa"/>
            <w:tcBorders/>
            <w:vAlign w:val="center"/>
          </w:tcPr>
          <w:p>
            <w:pPr>
              <w:pStyle w:val="TableHeading"/>
              <w:suppressLineNumbers/>
              <w:shd w:fill="133B4A" w:val="clear"/>
              <w:bidi w:val="0"/>
              <w:spacing w:before="120" w:after="120"/>
              <w:jc w:val="start"/>
              <w:rPr/>
            </w:pPr>
            <w:r>
              <w:rPr/>
              <w:t>Typical monitoring</w:t>
            </w:r>
          </w:p>
        </w:tc>
        <w:tc>
          <w:tcPr>
            <w:tcW w:w="11080" w:type="dxa"/>
            <w:tcBorders/>
            <w:vAlign w:val="center"/>
          </w:tcPr>
          <w:p>
            <w:pPr>
              <w:pStyle w:val="TableHeading"/>
              <w:suppressLineNumbers/>
              <w:shd w:fill="133B4A" w:val="clear"/>
              <w:bidi w:val="0"/>
              <w:spacing w:before="120" w:after="120"/>
              <w:jc w:val="start"/>
              <w:rPr/>
            </w:pPr>
            <w:r>
              <w:rPr/>
              <w:t>Talosai output to validate</w:t>
            </w:r>
          </w:p>
        </w:tc>
      </w:tr>
      <w:tr>
        <w:trPr/>
        <w:tc>
          <w:tcPr>
            <w:tcW w:w="3019" w:type="dxa"/>
            <w:tcBorders/>
            <w:vAlign w:val="center"/>
          </w:tcPr>
          <w:p>
            <w:pPr>
              <w:pStyle w:val="TableContents"/>
              <w:bidi w:val="0"/>
              <w:spacing w:before="120" w:after="120"/>
              <w:jc w:val="start"/>
              <w:rPr/>
            </w:pPr>
            <w:r>
              <w:rPr/>
              <w:t>Is there coverage?</w:t>
            </w:r>
          </w:p>
        </w:tc>
        <w:tc>
          <w:tcPr>
            <w:tcW w:w="5884" w:type="dxa"/>
            <w:tcBorders/>
            <w:vAlign w:val="center"/>
          </w:tcPr>
          <w:p>
            <w:pPr>
              <w:pStyle w:val="TableContents"/>
              <w:bidi w:val="0"/>
              <w:spacing w:before="120" w:after="120"/>
              <w:jc w:val="start"/>
              <w:rPr/>
            </w:pPr>
            <w:r>
              <w:rPr/>
              <w:t>Lists articles or incidents.</w:t>
            </w:r>
          </w:p>
        </w:tc>
        <w:tc>
          <w:tcPr>
            <w:tcW w:w="11080" w:type="dxa"/>
            <w:tcBorders/>
            <w:vAlign w:val="center"/>
          </w:tcPr>
          <w:p>
            <w:pPr>
              <w:pStyle w:val="TableContents"/>
              <w:bidi w:val="0"/>
              <w:spacing w:before="120" w:after="120"/>
              <w:jc w:val="start"/>
              <w:rPr/>
            </w:pPr>
            <w:r>
              <w:rPr/>
              <w:t>Measures whether pressure is abnormal, accelerating, or broadening relative to historical and country-specific baselines.</w:t>
            </w:r>
          </w:p>
        </w:tc>
      </w:tr>
      <w:tr>
        <w:trPr/>
        <w:tc>
          <w:tcPr>
            <w:tcW w:w="3019" w:type="dxa"/>
            <w:tcBorders/>
            <w:vAlign w:val="center"/>
          </w:tcPr>
          <w:p>
            <w:pPr>
              <w:pStyle w:val="TableContents"/>
              <w:bidi w:val="0"/>
              <w:spacing w:before="120" w:after="120"/>
              <w:jc w:val="start"/>
              <w:rPr/>
            </w:pPr>
            <w:r>
              <w:rPr/>
              <w:t>Is the situation worsening?</w:t>
            </w:r>
          </w:p>
        </w:tc>
        <w:tc>
          <w:tcPr>
            <w:tcW w:w="5884" w:type="dxa"/>
            <w:tcBorders/>
            <w:vAlign w:val="center"/>
          </w:tcPr>
          <w:p>
            <w:pPr>
              <w:pStyle w:val="TableContents"/>
              <w:bidi w:val="0"/>
              <w:spacing w:before="120" w:after="120"/>
              <w:jc w:val="start"/>
              <w:rPr/>
            </w:pPr>
            <w:r>
              <w:rPr/>
              <w:t>Depends on analyst interpretation of headlines.</w:t>
            </w:r>
          </w:p>
        </w:tc>
        <w:tc>
          <w:tcPr>
            <w:tcW w:w="11080" w:type="dxa"/>
            <w:tcBorders/>
            <w:vAlign w:val="center"/>
          </w:tcPr>
          <w:p>
            <w:pPr>
              <w:pStyle w:val="TableContents"/>
              <w:bidi w:val="0"/>
              <w:spacing w:before="120" w:after="120"/>
              <w:jc w:val="start"/>
              <w:rPr/>
            </w:pPr>
            <w:r>
              <w:rPr/>
              <w:t>Quantifies direction, momentum, persistence, and rate of change across independent signal streams.</w:t>
            </w:r>
          </w:p>
        </w:tc>
      </w:tr>
      <w:tr>
        <w:trPr/>
        <w:tc>
          <w:tcPr>
            <w:tcW w:w="3019" w:type="dxa"/>
            <w:tcBorders/>
            <w:vAlign w:val="center"/>
          </w:tcPr>
          <w:p>
            <w:pPr>
              <w:pStyle w:val="TableContents"/>
              <w:bidi w:val="0"/>
              <w:spacing w:before="120" w:after="120"/>
              <w:jc w:val="start"/>
              <w:rPr/>
            </w:pPr>
            <w:r>
              <w:rPr/>
              <w:t>Is the risk isolated or systemic?</w:t>
            </w:r>
          </w:p>
        </w:tc>
        <w:tc>
          <w:tcPr>
            <w:tcW w:w="5884" w:type="dxa"/>
            <w:tcBorders/>
            <w:vAlign w:val="center"/>
          </w:tcPr>
          <w:p>
            <w:pPr>
              <w:pStyle w:val="TableContents"/>
              <w:bidi w:val="0"/>
              <w:spacing w:before="120" w:after="120"/>
              <w:jc w:val="start"/>
              <w:rPr/>
            </w:pPr>
            <w:r>
              <w:rPr/>
              <w:t>Often treats political, social, market, and security categories separately.</w:t>
            </w:r>
          </w:p>
        </w:tc>
        <w:tc>
          <w:tcPr>
            <w:tcW w:w="11080" w:type="dxa"/>
            <w:tcBorders/>
            <w:vAlign w:val="center"/>
          </w:tcPr>
          <w:p>
            <w:pPr>
              <w:pStyle w:val="TableContents"/>
              <w:bidi w:val="0"/>
              <w:spacing w:before="120" w:after="120"/>
              <w:jc w:val="start"/>
              <w:rPr/>
            </w:pPr>
            <w:r>
              <w:rPr/>
              <w:t>Tests convergence, divergence, and lead-lag relationships across narrative, public-concern, financial, and domain indicators.</w:t>
            </w:r>
          </w:p>
        </w:tc>
      </w:tr>
      <w:tr>
        <w:trPr/>
        <w:tc>
          <w:tcPr>
            <w:tcW w:w="3019" w:type="dxa"/>
            <w:tcBorders/>
            <w:vAlign w:val="center"/>
          </w:tcPr>
          <w:p>
            <w:pPr>
              <w:pStyle w:val="TableContents"/>
              <w:bidi w:val="0"/>
              <w:spacing w:before="120" w:after="120"/>
              <w:jc w:val="start"/>
              <w:rPr/>
            </w:pPr>
            <w:r>
              <w:rPr/>
              <w:t>When should decisions change?</w:t>
            </w:r>
          </w:p>
        </w:tc>
        <w:tc>
          <w:tcPr>
            <w:tcW w:w="5884" w:type="dxa"/>
            <w:tcBorders/>
            <w:vAlign w:val="center"/>
          </w:tcPr>
          <w:p>
            <w:pPr>
              <w:pStyle w:val="TableContents"/>
              <w:bidi w:val="0"/>
              <w:spacing w:before="120" w:after="120"/>
              <w:jc w:val="start"/>
              <w:rPr/>
            </w:pPr>
            <w:r>
              <w:rPr/>
              <w:t>Often becomes clearest after disruption is visible.</w:t>
            </w:r>
          </w:p>
        </w:tc>
        <w:tc>
          <w:tcPr>
            <w:tcW w:w="11080" w:type="dxa"/>
            <w:tcBorders/>
            <w:vAlign w:val="center"/>
          </w:tcPr>
          <w:p>
            <w:pPr>
              <w:pStyle w:val="TableContents"/>
              <w:bidi w:val="0"/>
              <w:spacing w:before="120" w:after="120"/>
              <w:jc w:val="start"/>
              <w:rPr/>
            </w:pPr>
            <w:r>
              <w:rPr/>
              <w:t>Supports staged posture changes—monitor, watch, alert, critical warning, and continuity execution.</w:t>
            </w:r>
          </w:p>
        </w:tc>
      </w:tr>
      <w:tr>
        <w:trPr/>
        <w:tc>
          <w:tcPr>
            <w:tcW w:w="3019" w:type="dxa"/>
            <w:tcBorders/>
            <w:vAlign w:val="center"/>
          </w:tcPr>
          <w:p>
            <w:pPr>
              <w:pStyle w:val="TableContents"/>
              <w:bidi w:val="0"/>
              <w:spacing w:before="120" w:after="120"/>
              <w:jc w:val="start"/>
              <w:rPr/>
            </w:pPr>
            <w:r>
              <w:rPr/>
              <w:t>What should be done?</w:t>
            </w:r>
          </w:p>
        </w:tc>
        <w:tc>
          <w:tcPr>
            <w:tcW w:w="5884" w:type="dxa"/>
            <w:tcBorders/>
            <w:vAlign w:val="center"/>
          </w:tcPr>
          <w:p>
            <w:pPr>
              <w:pStyle w:val="TableContents"/>
              <w:bidi w:val="0"/>
              <w:spacing w:before="120" w:after="120"/>
              <w:jc w:val="start"/>
              <w:rPr/>
            </w:pPr>
            <w:r>
              <w:rPr/>
              <w:t>May leave response design to the reader.</w:t>
            </w:r>
          </w:p>
        </w:tc>
        <w:tc>
          <w:tcPr>
            <w:tcW w:w="11080" w:type="dxa"/>
            <w:tcBorders/>
            <w:vAlign w:val="center"/>
          </w:tcPr>
          <w:p>
            <w:pPr>
              <w:pStyle w:val="TableContents"/>
              <w:bidi w:val="0"/>
              <w:spacing w:before="120" w:after="120"/>
              <w:jc w:val="start"/>
              <w:rPr/>
            </w:pPr>
            <w:r>
              <w:rPr/>
              <w:t>Connects the observed signal state to monitoring cadence, exposure review, contingency triggers, communications, and continuity actions.</w:t>
            </w:r>
          </w:p>
        </w:tc>
      </w:tr>
    </w:tbl>
    <w:p>
      <w:pPr>
        <w:pStyle w:val="Heading2"/>
        <w:bidi w:val="0"/>
        <w:jc w:val="start"/>
        <w:rPr/>
      </w:pPr>
      <w:r>
        <w:rPr/>
        <w:t>Reference Crisis Timeline</w:t>
      </w:r>
    </w:p>
    <w:p>
      <w:pPr>
        <w:pStyle w:val="BodyText"/>
        <w:bidi w:val="0"/>
        <w:jc w:val="start"/>
        <w:rPr/>
      </w:pPr>
      <w:r>
        <w:rPr/>
        <w:t>These event anchors provide the comparison framework for the archived Talosai outputs. They are not substitutes for the outputs and should not be used to backfill a prediction. Weekly data should be aligned to the nearest available as-of date, with the timing limitation stated explicitly.</w:t>
      </w:r>
    </w:p>
    <w:tbl>
      <w:tblPr>
        <w:tblW w:w="19983" w:type="dxa"/>
        <w:jc w:val="start"/>
        <w:tblInd w:w="0" w:type="dxa"/>
        <w:tblLayout w:type="fixed"/>
        <w:tblCellMar>
          <w:top w:w="28" w:type="dxa"/>
          <w:start w:w="28" w:type="dxa"/>
          <w:bottom w:w="28" w:type="dxa"/>
          <w:end w:w="28" w:type="dxa"/>
        </w:tblCellMar>
      </w:tblPr>
      <w:tblGrid>
        <w:gridCol w:w="1898"/>
        <w:gridCol w:w="4248"/>
        <w:gridCol w:w="13837"/>
      </w:tblGrid>
      <w:tr>
        <w:trPr>
          <w:tblHeader w:val="true"/>
        </w:trPr>
        <w:tc>
          <w:tcPr>
            <w:tcW w:w="1898" w:type="dxa"/>
            <w:tcBorders/>
            <w:vAlign w:val="center"/>
          </w:tcPr>
          <w:p>
            <w:pPr>
              <w:pStyle w:val="TableHeading"/>
              <w:suppressLineNumbers/>
              <w:shd w:fill="133B4A" w:val="clear"/>
              <w:bidi w:val="0"/>
              <w:spacing w:before="120" w:after="120"/>
              <w:jc w:val="start"/>
              <w:rPr/>
            </w:pPr>
            <w:r>
              <w:rPr/>
              <w:t>Date/window</w:t>
            </w:r>
          </w:p>
        </w:tc>
        <w:tc>
          <w:tcPr>
            <w:tcW w:w="4248" w:type="dxa"/>
            <w:tcBorders/>
            <w:vAlign w:val="center"/>
          </w:tcPr>
          <w:p>
            <w:pPr>
              <w:pStyle w:val="TableHeading"/>
              <w:suppressLineNumbers/>
              <w:shd w:fill="133B4A" w:val="clear"/>
              <w:bidi w:val="0"/>
              <w:spacing w:before="120" w:after="120"/>
              <w:jc w:val="start"/>
              <w:rPr/>
            </w:pPr>
            <w:r>
              <w:rPr/>
              <w:t>Milestone</w:t>
            </w:r>
          </w:p>
        </w:tc>
        <w:tc>
          <w:tcPr>
            <w:tcW w:w="13837" w:type="dxa"/>
            <w:tcBorders/>
            <w:vAlign w:val="center"/>
          </w:tcPr>
          <w:p>
            <w:pPr>
              <w:pStyle w:val="TableHeading"/>
              <w:suppressLineNumbers/>
              <w:shd w:fill="133B4A" w:val="clear"/>
              <w:bidi w:val="0"/>
              <w:spacing w:before="120" w:after="120"/>
              <w:jc w:val="start"/>
              <w:rPr/>
            </w:pPr>
            <w:r>
              <w:rPr/>
              <w:t>Analytical use</w:t>
            </w:r>
          </w:p>
        </w:tc>
      </w:tr>
      <w:tr>
        <w:trPr/>
        <w:tc>
          <w:tcPr>
            <w:tcW w:w="1898" w:type="dxa"/>
            <w:tcBorders/>
            <w:vAlign w:val="center"/>
          </w:tcPr>
          <w:p>
            <w:pPr>
              <w:pStyle w:val="TableContents"/>
              <w:bidi w:val="0"/>
              <w:spacing w:before="120" w:after="120"/>
              <w:jc w:val="start"/>
              <w:rPr/>
            </w:pPr>
            <w:r>
              <w:rPr/>
              <w:t>Jun.–Aug. 2023</w:t>
            </w:r>
          </w:p>
        </w:tc>
        <w:tc>
          <w:tcPr>
            <w:tcW w:w="4248" w:type="dxa"/>
            <w:tcBorders/>
            <w:vAlign w:val="center"/>
          </w:tcPr>
          <w:p>
            <w:pPr>
              <w:pStyle w:val="TableContents"/>
              <w:bidi w:val="0"/>
              <w:spacing w:before="120" w:after="120"/>
              <w:jc w:val="start"/>
              <w:rPr/>
            </w:pPr>
            <w:r>
              <w:rPr/>
              <w:t>Historical and seasonal baseline</w:t>
            </w:r>
          </w:p>
        </w:tc>
        <w:tc>
          <w:tcPr>
            <w:tcW w:w="13837" w:type="dxa"/>
            <w:tcBorders/>
            <w:vAlign w:val="center"/>
          </w:tcPr>
          <w:p>
            <w:pPr>
              <w:pStyle w:val="TableContents"/>
              <w:bidi w:val="0"/>
              <w:spacing w:before="120" w:after="120"/>
              <w:jc w:val="start"/>
              <w:rPr/>
            </w:pPr>
            <w:r>
              <w:rPr/>
              <w:t>Establish normal narrative, public-concern, security, governance, economic, and source-balance conditions.</w:t>
            </w:r>
          </w:p>
        </w:tc>
      </w:tr>
      <w:tr>
        <w:trPr/>
        <w:tc>
          <w:tcPr>
            <w:tcW w:w="1898" w:type="dxa"/>
            <w:tcBorders/>
            <w:vAlign w:val="center"/>
          </w:tcPr>
          <w:p>
            <w:pPr>
              <w:pStyle w:val="TableContents"/>
              <w:bidi w:val="0"/>
              <w:spacing w:before="120" w:after="120"/>
              <w:jc w:val="start"/>
              <w:rPr/>
            </w:pPr>
            <w:r>
              <w:rPr/>
              <w:t>Sep.–6 Oct. 2023</w:t>
            </w:r>
          </w:p>
        </w:tc>
        <w:tc>
          <w:tcPr>
            <w:tcW w:w="4248" w:type="dxa"/>
            <w:tcBorders/>
            <w:vAlign w:val="center"/>
          </w:tcPr>
          <w:p>
            <w:pPr>
              <w:pStyle w:val="TableContents"/>
              <w:bidi w:val="0"/>
              <w:spacing w:before="120" w:after="120"/>
              <w:jc w:val="start"/>
              <w:rPr/>
            </w:pPr>
            <w:r>
              <w:rPr/>
              <w:t>Immediate pre-event window</w:t>
            </w:r>
          </w:p>
        </w:tc>
        <w:tc>
          <w:tcPr>
            <w:tcW w:w="13837" w:type="dxa"/>
            <w:tcBorders/>
            <w:vAlign w:val="center"/>
          </w:tcPr>
          <w:p>
            <w:pPr>
              <w:pStyle w:val="TableContents"/>
              <w:bidi w:val="0"/>
              <w:spacing w:before="120" w:after="120"/>
              <w:jc w:val="start"/>
              <w:rPr/>
            </w:pPr>
            <w:r>
              <w:rPr/>
              <w:t>Test for abnormal defense, border, governance, public concern, or regional narrative changes. Preserve the possibility of a null finding.</w:t>
            </w:r>
          </w:p>
        </w:tc>
      </w:tr>
      <w:tr>
        <w:trPr/>
        <w:tc>
          <w:tcPr>
            <w:tcW w:w="1898" w:type="dxa"/>
            <w:tcBorders/>
            <w:vAlign w:val="center"/>
          </w:tcPr>
          <w:p>
            <w:pPr>
              <w:pStyle w:val="TableContents"/>
              <w:bidi w:val="0"/>
              <w:spacing w:before="120" w:after="120"/>
              <w:jc w:val="start"/>
              <w:rPr/>
            </w:pPr>
            <w:r>
              <w:rPr/>
              <w:t>7 Oct. 2023</w:t>
            </w:r>
          </w:p>
        </w:tc>
        <w:tc>
          <w:tcPr>
            <w:tcW w:w="4248" w:type="dxa"/>
            <w:tcBorders/>
            <w:vAlign w:val="center"/>
          </w:tcPr>
          <w:p>
            <w:pPr>
              <w:pStyle w:val="TableContents"/>
              <w:bidi w:val="0"/>
              <w:spacing w:before="120" w:after="120"/>
              <w:jc w:val="start"/>
              <w:rPr/>
            </w:pPr>
            <w:r>
              <w:rPr/>
              <w:t>Large-scale attack</w:t>
            </w:r>
          </w:p>
        </w:tc>
        <w:tc>
          <w:tcPr>
            <w:tcW w:w="13837" w:type="dxa"/>
            <w:tcBorders/>
            <w:vAlign w:val="center"/>
          </w:tcPr>
          <w:p>
            <w:pPr>
              <w:pStyle w:val="TableContents"/>
              <w:bidi w:val="0"/>
              <w:spacing w:before="120" w:after="120"/>
              <w:jc w:val="start"/>
              <w:rPr/>
            </w:pPr>
            <w:r>
              <w:rPr/>
              <w:t>Hamas launched rockets and ground incursions; Israeli communities and military sites were attacked; civilians and security personnel were killed and abducted.</w:t>
            </w:r>
          </w:p>
        </w:tc>
      </w:tr>
      <w:tr>
        <w:trPr/>
        <w:tc>
          <w:tcPr>
            <w:tcW w:w="1898" w:type="dxa"/>
            <w:tcBorders/>
            <w:vAlign w:val="center"/>
          </w:tcPr>
          <w:p>
            <w:pPr>
              <w:pStyle w:val="TableContents"/>
              <w:bidi w:val="0"/>
              <w:spacing w:before="120" w:after="120"/>
              <w:jc w:val="start"/>
              <w:rPr/>
            </w:pPr>
            <w:r>
              <w:rPr/>
              <w:t>8 Oct. 2023</w:t>
            </w:r>
          </w:p>
        </w:tc>
        <w:tc>
          <w:tcPr>
            <w:tcW w:w="4248" w:type="dxa"/>
            <w:tcBorders/>
            <w:vAlign w:val="center"/>
          </w:tcPr>
          <w:p>
            <w:pPr>
              <w:pStyle w:val="TableContents"/>
              <w:bidi w:val="0"/>
              <w:spacing w:before="120" w:after="120"/>
              <w:jc w:val="start"/>
              <w:rPr/>
            </w:pPr>
            <w:r>
              <w:rPr/>
              <w:t>Formal war posture</w:t>
            </w:r>
          </w:p>
        </w:tc>
        <w:tc>
          <w:tcPr>
            <w:tcW w:w="13837" w:type="dxa"/>
            <w:tcBorders/>
            <w:vAlign w:val="center"/>
          </w:tcPr>
          <w:p>
            <w:pPr>
              <w:pStyle w:val="TableContents"/>
              <w:bidi w:val="0"/>
              <w:spacing w:before="120" w:after="120"/>
              <w:jc w:val="start"/>
              <w:rPr/>
            </w:pPr>
            <w:r>
              <w:rPr/>
              <w:t>The Government of Israel declared war and military operations intensified.</w:t>
            </w:r>
          </w:p>
        </w:tc>
      </w:tr>
      <w:tr>
        <w:trPr/>
        <w:tc>
          <w:tcPr>
            <w:tcW w:w="1898" w:type="dxa"/>
            <w:tcBorders/>
            <w:vAlign w:val="center"/>
          </w:tcPr>
          <w:p>
            <w:pPr>
              <w:pStyle w:val="TableContents"/>
              <w:bidi w:val="0"/>
              <w:spacing w:before="120" w:after="120"/>
              <w:jc w:val="start"/>
              <w:rPr/>
            </w:pPr>
            <w:r>
              <w:rPr/>
              <w:t>9–13 Oct. 2023</w:t>
            </w:r>
          </w:p>
        </w:tc>
        <w:tc>
          <w:tcPr>
            <w:tcW w:w="4248" w:type="dxa"/>
            <w:tcBorders/>
            <w:vAlign w:val="center"/>
          </w:tcPr>
          <w:p>
            <w:pPr>
              <w:pStyle w:val="TableContents"/>
              <w:bidi w:val="0"/>
              <w:spacing w:before="120" w:after="120"/>
              <w:jc w:val="start"/>
              <w:rPr/>
            </w:pPr>
            <w:r>
              <w:rPr/>
              <w:t>Siege, displacement, and evacuation pressure</w:t>
            </w:r>
          </w:p>
        </w:tc>
        <w:tc>
          <w:tcPr>
            <w:tcW w:w="13837" w:type="dxa"/>
            <w:tcBorders/>
            <w:vAlign w:val="center"/>
          </w:tcPr>
          <w:p>
            <w:pPr>
              <w:pStyle w:val="TableContents"/>
              <w:bidi w:val="0"/>
              <w:spacing w:before="120" w:after="120"/>
              <w:jc w:val="start"/>
              <w:rPr/>
            </w:pPr>
            <w:r>
              <w:rPr/>
              <w:t>Strikes, infrastructure damage, humanitarian restrictions, displacement, and evacuation orders expanded the crisis.</w:t>
            </w:r>
          </w:p>
        </w:tc>
      </w:tr>
      <w:tr>
        <w:trPr/>
        <w:tc>
          <w:tcPr>
            <w:tcW w:w="1898" w:type="dxa"/>
            <w:tcBorders/>
            <w:vAlign w:val="center"/>
          </w:tcPr>
          <w:p>
            <w:pPr>
              <w:pStyle w:val="TableContents"/>
              <w:bidi w:val="0"/>
              <w:spacing w:before="120" w:after="120"/>
              <w:jc w:val="start"/>
              <w:rPr/>
            </w:pPr>
            <w:r>
              <w:rPr/>
              <w:t>Mid–late Oct. 2023</w:t>
            </w:r>
          </w:p>
        </w:tc>
        <w:tc>
          <w:tcPr>
            <w:tcW w:w="4248" w:type="dxa"/>
            <w:tcBorders/>
            <w:vAlign w:val="center"/>
          </w:tcPr>
          <w:p>
            <w:pPr>
              <w:pStyle w:val="TableContents"/>
              <w:bidi w:val="0"/>
              <w:spacing w:before="120" w:after="120"/>
              <w:jc w:val="start"/>
              <w:rPr/>
            </w:pPr>
            <w:r>
              <w:rPr/>
              <w:t>Regional and humanitarian escalation</w:t>
            </w:r>
          </w:p>
        </w:tc>
        <w:tc>
          <w:tcPr>
            <w:tcW w:w="13837" w:type="dxa"/>
            <w:tcBorders/>
            <w:vAlign w:val="center"/>
          </w:tcPr>
          <w:p>
            <w:pPr>
              <w:pStyle w:val="TableContents"/>
              <w:bidi w:val="0"/>
              <w:spacing w:before="120" w:after="120"/>
              <w:jc w:val="start"/>
              <w:rPr/>
            </w:pPr>
            <w:r>
              <w:rPr/>
              <w:t>Cross-border incidents, diplomatic activity, aid-access concerns, and widening humanitarian consequences sustained multi-domain pressure.</w:t>
            </w:r>
          </w:p>
        </w:tc>
      </w:tr>
      <w:tr>
        <w:trPr/>
        <w:tc>
          <w:tcPr>
            <w:tcW w:w="1898" w:type="dxa"/>
            <w:tcBorders/>
            <w:vAlign w:val="center"/>
          </w:tcPr>
          <w:p>
            <w:pPr>
              <w:pStyle w:val="TableContents"/>
              <w:bidi w:val="0"/>
              <w:spacing w:before="120" w:after="120"/>
              <w:jc w:val="start"/>
              <w:rPr/>
            </w:pPr>
            <w:r>
              <w:rPr/>
              <w:t>27 Oct. 2023</w:t>
            </w:r>
          </w:p>
        </w:tc>
        <w:tc>
          <w:tcPr>
            <w:tcW w:w="4248" w:type="dxa"/>
            <w:tcBorders/>
            <w:vAlign w:val="center"/>
          </w:tcPr>
          <w:p>
            <w:pPr>
              <w:pStyle w:val="TableContents"/>
              <w:bidi w:val="0"/>
              <w:spacing w:before="120" w:after="120"/>
              <w:jc w:val="start"/>
              <w:rPr/>
            </w:pPr>
            <w:r>
              <w:rPr/>
              <w:t>International diplomatic response</w:t>
            </w:r>
          </w:p>
        </w:tc>
        <w:tc>
          <w:tcPr>
            <w:tcW w:w="13837" w:type="dxa"/>
            <w:tcBorders/>
            <w:vAlign w:val="center"/>
          </w:tcPr>
          <w:p>
            <w:pPr>
              <w:pStyle w:val="TableContents"/>
              <w:bidi w:val="0"/>
              <w:spacing w:before="120" w:after="120"/>
              <w:jc w:val="start"/>
              <w:rPr/>
            </w:pPr>
            <w:r>
              <w:rPr/>
              <w:t>The UN General Assembly called for an immediate and sustained humanitarian truce and unhindered aid access.</w:t>
            </w:r>
          </w:p>
        </w:tc>
      </w:tr>
    </w:tbl>
    <w:p>
      <w:pPr>
        <w:pStyle w:val="Heading2"/>
        <w:bidi w:val="0"/>
        <w:jc w:val="start"/>
        <w:rPr/>
      </w:pPr>
      <w:r>
        <w:rPr/>
        <w:t>Proposed Performance Timeline</w:t>
      </w:r>
    </w:p>
    <w:tbl>
      <w:tblPr>
        <w:tblW w:w="19983" w:type="dxa"/>
        <w:jc w:val="start"/>
        <w:tblInd w:w="0" w:type="dxa"/>
        <w:tblLayout w:type="fixed"/>
        <w:tblCellMar>
          <w:top w:w="28" w:type="dxa"/>
          <w:start w:w="28" w:type="dxa"/>
          <w:bottom w:w="28" w:type="dxa"/>
          <w:end w:w="28" w:type="dxa"/>
        </w:tblCellMar>
      </w:tblPr>
      <w:tblGrid>
        <w:gridCol w:w="1648"/>
        <w:gridCol w:w="2206"/>
        <w:gridCol w:w="13401"/>
        <w:gridCol w:w="2728"/>
      </w:tblGrid>
      <w:tr>
        <w:trPr>
          <w:tblHeader w:val="true"/>
        </w:trPr>
        <w:tc>
          <w:tcPr>
            <w:tcW w:w="1648" w:type="dxa"/>
            <w:tcBorders/>
            <w:vAlign w:val="center"/>
          </w:tcPr>
          <w:p>
            <w:pPr>
              <w:pStyle w:val="TableHeading"/>
              <w:suppressLineNumbers/>
              <w:shd w:fill="133B4A" w:val="clear"/>
              <w:bidi w:val="0"/>
              <w:spacing w:before="120" w:after="120"/>
              <w:jc w:val="start"/>
              <w:rPr/>
            </w:pPr>
            <w:r>
              <w:rPr/>
              <w:t>Window</w:t>
            </w:r>
          </w:p>
        </w:tc>
        <w:tc>
          <w:tcPr>
            <w:tcW w:w="2206" w:type="dxa"/>
            <w:tcBorders/>
            <w:vAlign w:val="center"/>
          </w:tcPr>
          <w:p>
            <w:pPr>
              <w:pStyle w:val="TableHeading"/>
              <w:suppressLineNumbers/>
              <w:shd w:fill="133B4A" w:val="clear"/>
              <w:bidi w:val="0"/>
              <w:spacing w:before="120" w:after="120"/>
              <w:jc w:val="start"/>
              <w:rPr/>
            </w:pPr>
            <w:r>
              <w:rPr/>
              <w:t>Lead time / signal state</w:t>
            </w:r>
          </w:p>
        </w:tc>
        <w:tc>
          <w:tcPr>
            <w:tcW w:w="13401" w:type="dxa"/>
            <w:tcBorders/>
            <w:vAlign w:val="center"/>
          </w:tcPr>
          <w:p>
            <w:pPr>
              <w:pStyle w:val="TableHeading"/>
              <w:suppressLineNumbers/>
              <w:shd w:fill="133B4A" w:val="clear"/>
              <w:bidi w:val="0"/>
              <w:spacing w:before="120" w:after="120"/>
              <w:jc w:val="start"/>
              <w:rPr/>
            </w:pPr>
            <w:r>
              <w:rPr/>
              <w:t>What Talosai output must show</w:t>
            </w:r>
          </w:p>
        </w:tc>
        <w:tc>
          <w:tcPr>
            <w:tcW w:w="2728" w:type="dxa"/>
            <w:tcBorders/>
            <w:vAlign w:val="center"/>
          </w:tcPr>
          <w:p>
            <w:pPr>
              <w:pStyle w:val="TableHeading"/>
              <w:suppressLineNumbers/>
              <w:shd w:fill="133B4A" w:val="clear"/>
              <w:bidi w:val="0"/>
              <w:spacing w:before="120" w:after="120"/>
              <w:jc w:val="start"/>
              <w:rPr/>
            </w:pPr>
            <w:r>
              <w:rPr/>
              <w:t>Decision value</w:t>
            </w:r>
          </w:p>
        </w:tc>
      </w:tr>
      <w:tr>
        <w:trPr/>
        <w:tc>
          <w:tcPr>
            <w:tcW w:w="1648" w:type="dxa"/>
            <w:tcBorders/>
            <w:vAlign w:val="center"/>
          </w:tcPr>
          <w:p>
            <w:pPr>
              <w:pStyle w:val="TableContents"/>
              <w:bidi w:val="0"/>
              <w:spacing w:before="120" w:after="120"/>
              <w:jc w:val="start"/>
              <w:rPr/>
            </w:pPr>
            <w:r>
              <w:rPr/>
              <w:t>Jun.–Aug. 2023</w:t>
            </w:r>
          </w:p>
        </w:tc>
        <w:tc>
          <w:tcPr>
            <w:tcW w:w="2206" w:type="dxa"/>
            <w:tcBorders/>
            <w:vAlign w:val="center"/>
          </w:tcPr>
          <w:p>
            <w:pPr>
              <w:pStyle w:val="TableContents"/>
              <w:bidi w:val="0"/>
              <w:spacing w:before="120" w:after="120"/>
              <w:jc w:val="start"/>
              <w:rPr/>
            </w:pPr>
            <w:r>
              <w:rPr/>
              <w:t>[TALOSAI DATA REQUIRED]</w:t>
            </w:r>
          </w:p>
        </w:tc>
        <w:tc>
          <w:tcPr>
            <w:tcW w:w="13401" w:type="dxa"/>
            <w:tcBorders/>
            <w:vAlign w:val="center"/>
          </w:tcPr>
          <w:p>
            <w:pPr>
              <w:pStyle w:val="TableContents"/>
              <w:bidi w:val="0"/>
              <w:spacing w:before="120" w:after="120"/>
              <w:jc w:val="start"/>
              <w:rPr/>
            </w:pPr>
            <w:r>
              <w:rPr/>
              <w:t>Compare archived signal state with: Historical and seasonal baseline. Establish normal narrative, public-concern, security, governance, economic, and source-balance conditions.</w:t>
            </w:r>
          </w:p>
        </w:tc>
        <w:tc>
          <w:tcPr>
            <w:tcW w:w="2728" w:type="dxa"/>
            <w:tcBorders/>
            <w:vAlign w:val="center"/>
          </w:tcPr>
          <w:p>
            <w:pPr>
              <w:pStyle w:val="TableContents"/>
              <w:bidi w:val="0"/>
              <w:spacing w:before="120" w:after="120"/>
              <w:jc w:val="start"/>
              <w:rPr/>
            </w:pPr>
            <w:r>
              <w:rPr/>
              <w:t>[DECISION POSTURE TO VALIDATE]</w:t>
            </w:r>
          </w:p>
        </w:tc>
      </w:tr>
      <w:tr>
        <w:trPr/>
        <w:tc>
          <w:tcPr>
            <w:tcW w:w="1648" w:type="dxa"/>
            <w:tcBorders/>
            <w:vAlign w:val="center"/>
          </w:tcPr>
          <w:p>
            <w:pPr>
              <w:pStyle w:val="TableContents"/>
              <w:bidi w:val="0"/>
              <w:spacing w:before="120" w:after="120"/>
              <w:jc w:val="start"/>
              <w:rPr/>
            </w:pPr>
            <w:r>
              <w:rPr/>
              <w:t>Sep.–6 Oct. 2023</w:t>
            </w:r>
          </w:p>
        </w:tc>
        <w:tc>
          <w:tcPr>
            <w:tcW w:w="2206" w:type="dxa"/>
            <w:tcBorders/>
            <w:vAlign w:val="center"/>
          </w:tcPr>
          <w:p>
            <w:pPr>
              <w:pStyle w:val="TableContents"/>
              <w:bidi w:val="0"/>
              <w:spacing w:before="120" w:after="120"/>
              <w:jc w:val="start"/>
              <w:rPr/>
            </w:pPr>
            <w:r>
              <w:rPr/>
              <w:t>[TALOSAI DATA REQUIRED]</w:t>
            </w:r>
          </w:p>
        </w:tc>
        <w:tc>
          <w:tcPr>
            <w:tcW w:w="13401" w:type="dxa"/>
            <w:tcBorders/>
            <w:vAlign w:val="center"/>
          </w:tcPr>
          <w:p>
            <w:pPr>
              <w:pStyle w:val="TableContents"/>
              <w:bidi w:val="0"/>
              <w:spacing w:before="120" w:after="120"/>
              <w:jc w:val="start"/>
              <w:rPr/>
            </w:pPr>
            <w:r>
              <w:rPr/>
              <w:t>Compare archived signal state with: Immediate pre-event window. Test for abnormal defense, border, governance, public concern, or regional narrative changes. Preserve the possibility of a null finding.</w:t>
            </w:r>
          </w:p>
        </w:tc>
        <w:tc>
          <w:tcPr>
            <w:tcW w:w="2728" w:type="dxa"/>
            <w:tcBorders/>
            <w:vAlign w:val="center"/>
          </w:tcPr>
          <w:p>
            <w:pPr>
              <w:pStyle w:val="TableContents"/>
              <w:bidi w:val="0"/>
              <w:spacing w:before="120" w:after="120"/>
              <w:jc w:val="start"/>
              <w:rPr/>
            </w:pPr>
            <w:r>
              <w:rPr/>
              <w:t>[DECISION POSTURE TO VALIDATE]</w:t>
            </w:r>
          </w:p>
        </w:tc>
      </w:tr>
      <w:tr>
        <w:trPr/>
        <w:tc>
          <w:tcPr>
            <w:tcW w:w="1648" w:type="dxa"/>
            <w:tcBorders/>
            <w:vAlign w:val="center"/>
          </w:tcPr>
          <w:p>
            <w:pPr>
              <w:pStyle w:val="TableContents"/>
              <w:bidi w:val="0"/>
              <w:spacing w:before="120" w:after="120"/>
              <w:jc w:val="start"/>
              <w:rPr/>
            </w:pPr>
            <w:r>
              <w:rPr/>
              <w:t>7 Oct. 2023</w:t>
            </w:r>
          </w:p>
        </w:tc>
        <w:tc>
          <w:tcPr>
            <w:tcW w:w="2206" w:type="dxa"/>
            <w:tcBorders/>
            <w:vAlign w:val="center"/>
          </w:tcPr>
          <w:p>
            <w:pPr>
              <w:pStyle w:val="TableContents"/>
              <w:bidi w:val="0"/>
              <w:spacing w:before="120" w:after="120"/>
              <w:jc w:val="start"/>
              <w:rPr/>
            </w:pPr>
            <w:r>
              <w:rPr/>
              <w:t>[TALOSAI DATA REQUIRED]</w:t>
            </w:r>
          </w:p>
        </w:tc>
        <w:tc>
          <w:tcPr>
            <w:tcW w:w="13401" w:type="dxa"/>
            <w:tcBorders/>
            <w:vAlign w:val="center"/>
          </w:tcPr>
          <w:p>
            <w:pPr>
              <w:pStyle w:val="TableContents"/>
              <w:bidi w:val="0"/>
              <w:spacing w:before="120" w:after="120"/>
              <w:jc w:val="start"/>
              <w:rPr/>
            </w:pPr>
            <w:r>
              <w:rPr/>
              <w:t>Compare archived signal state with: Large-scale attack. Hamas launched rockets and ground incursions; Israeli communities and military sites were attacked; civilians and security personnel were killed and abducted.</w:t>
            </w:r>
          </w:p>
        </w:tc>
        <w:tc>
          <w:tcPr>
            <w:tcW w:w="2728" w:type="dxa"/>
            <w:tcBorders/>
            <w:vAlign w:val="center"/>
          </w:tcPr>
          <w:p>
            <w:pPr>
              <w:pStyle w:val="TableContents"/>
              <w:bidi w:val="0"/>
              <w:spacing w:before="120" w:after="120"/>
              <w:jc w:val="start"/>
              <w:rPr/>
            </w:pPr>
            <w:r>
              <w:rPr/>
              <w:t>[DECISION POSTURE TO VALIDATE]</w:t>
            </w:r>
          </w:p>
        </w:tc>
      </w:tr>
      <w:tr>
        <w:trPr/>
        <w:tc>
          <w:tcPr>
            <w:tcW w:w="1648" w:type="dxa"/>
            <w:tcBorders/>
            <w:vAlign w:val="center"/>
          </w:tcPr>
          <w:p>
            <w:pPr>
              <w:pStyle w:val="TableContents"/>
              <w:bidi w:val="0"/>
              <w:spacing w:before="120" w:after="120"/>
              <w:jc w:val="start"/>
              <w:rPr/>
            </w:pPr>
            <w:r>
              <w:rPr/>
              <w:t>8 Oct. 2023</w:t>
            </w:r>
          </w:p>
        </w:tc>
        <w:tc>
          <w:tcPr>
            <w:tcW w:w="2206" w:type="dxa"/>
            <w:tcBorders/>
            <w:vAlign w:val="center"/>
          </w:tcPr>
          <w:p>
            <w:pPr>
              <w:pStyle w:val="TableContents"/>
              <w:bidi w:val="0"/>
              <w:spacing w:before="120" w:after="120"/>
              <w:jc w:val="start"/>
              <w:rPr/>
            </w:pPr>
            <w:r>
              <w:rPr/>
              <w:t>[TALOSAI DATA REQUIRED]</w:t>
            </w:r>
          </w:p>
        </w:tc>
        <w:tc>
          <w:tcPr>
            <w:tcW w:w="13401" w:type="dxa"/>
            <w:tcBorders/>
            <w:vAlign w:val="center"/>
          </w:tcPr>
          <w:p>
            <w:pPr>
              <w:pStyle w:val="TableContents"/>
              <w:bidi w:val="0"/>
              <w:spacing w:before="120" w:after="120"/>
              <w:jc w:val="start"/>
              <w:rPr/>
            </w:pPr>
            <w:r>
              <w:rPr/>
              <w:t>Compare archived signal state with: Formal war posture. The Government of Israel declared war and military operations intensified.</w:t>
            </w:r>
          </w:p>
        </w:tc>
        <w:tc>
          <w:tcPr>
            <w:tcW w:w="2728" w:type="dxa"/>
            <w:tcBorders/>
            <w:vAlign w:val="center"/>
          </w:tcPr>
          <w:p>
            <w:pPr>
              <w:pStyle w:val="TableContents"/>
              <w:bidi w:val="0"/>
              <w:spacing w:before="120" w:after="120"/>
              <w:jc w:val="start"/>
              <w:rPr/>
            </w:pPr>
            <w:r>
              <w:rPr/>
              <w:t>[DECISION POSTURE TO VALIDATE]</w:t>
            </w:r>
          </w:p>
        </w:tc>
      </w:tr>
      <w:tr>
        <w:trPr/>
        <w:tc>
          <w:tcPr>
            <w:tcW w:w="1648" w:type="dxa"/>
            <w:tcBorders/>
            <w:vAlign w:val="center"/>
          </w:tcPr>
          <w:p>
            <w:pPr>
              <w:pStyle w:val="TableContents"/>
              <w:bidi w:val="0"/>
              <w:spacing w:before="120" w:after="120"/>
              <w:jc w:val="start"/>
              <w:rPr/>
            </w:pPr>
            <w:r>
              <w:rPr/>
              <w:t>9–13 Oct. 2023</w:t>
            </w:r>
          </w:p>
        </w:tc>
        <w:tc>
          <w:tcPr>
            <w:tcW w:w="2206" w:type="dxa"/>
            <w:tcBorders/>
            <w:vAlign w:val="center"/>
          </w:tcPr>
          <w:p>
            <w:pPr>
              <w:pStyle w:val="TableContents"/>
              <w:bidi w:val="0"/>
              <w:spacing w:before="120" w:after="120"/>
              <w:jc w:val="start"/>
              <w:rPr/>
            </w:pPr>
            <w:r>
              <w:rPr/>
              <w:t>[TALOSAI DATA REQUIRED]</w:t>
            </w:r>
          </w:p>
        </w:tc>
        <w:tc>
          <w:tcPr>
            <w:tcW w:w="13401" w:type="dxa"/>
            <w:tcBorders/>
            <w:vAlign w:val="center"/>
          </w:tcPr>
          <w:p>
            <w:pPr>
              <w:pStyle w:val="TableContents"/>
              <w:bidi w:val="0"/>
              <w:spacing w:before="120" w:after="120"/>
              <w:jc w:val="start"/>
              <w:rPr/>
            </w:pPr>
            <w:r>
              <w:rPr/>
              <w:t>Compare archived signal state with: Siege, displacement, and evacuation pressure. Strikes, infrastructure damage, humanitarian restrictions, displacement, and evacuation orders expanded the crisis.</w:t>
            </w:r>
          </w:p>
        </w:tc>
        <w:tc>
          <w:tcPr>
            <w:tcW w:w="2728" w:type="dxa"/>
            <w:tcBorders/>
            <w:vAlign w:val="center"/>
          </w:tcPr>
          <w:p>
            <w:pPr>
              <w:pStyle w:val="TableContents"/>
              <w:bidi w:val="0"/>
              <w:spacing w:before="120" w:after="120"/>
              <w:jc w:val="start"/>
              <w:rPr/>
            </w:pPr>
            <w:r>
              <w:rPr/>
              <w:t>[DECISION POSTURE TO VALIDATE]</w:t>
            </w:r>
          </w:p>
        </w:tc>
      </w:tr>
      <w:tr>
        <w:trPr/>
        <w:tc>
          <w:tcPr>
            <w:tcW w:w="1648" w:type="dxa"/>
            <w:tcBorders/>
            <w:vAlign w:val="center"/>
          </w:tcPr>
          <w:p>
            <w:pPr>
              <w:pStyle w:val="TableContents"/>
              <w:bidi w:val="0"/>
              <w:spacing w:before="120" w:after="120"/>
              <w:jc w:val="start"/>
              <w:rPr/>
            </w:pPr>
            <w:r>
              <w:rPr/>
              <w:t>Mid–late Oct. 2023</w:t>
            </w:r>
          </w:p>
        </w:tc>
        <w:tc>
          <w:tcPr>
            <w:tcW w:w="2206" w:type="dxa"/>
            <w:tcBorders/>
            <w:vAlign w:val="center"/>
          </w:tcPr>
          <w:p>
            <w:pPr>
              <w:pStyle w:val="TableContents"/>
              <w:bidi w:val="0"/>
              <w:spacing w:before="120" w:after="120"/>
              <w:jc w:val="start"/>
              <w:rPr/>
            </w:pPr>
            <w:r>
              <w:rPr/>
              <w:t>[TALOSAI DATA REQUIRED]</w:t>
            </w:r>
          </w:p>
        </w:tc>
        <w:tc>
          <w:tcPr>
            <w:tcW w:w="13401" w:type="dxa"/>
            <w:tcBorders/>
            <w:vAlign w:val="center"/>
          </w:tcPr>
          <w:p>
            <w:pPr>
              <w:pStyle w:val="TableContents"/>
              <w:bidi w:val="0"/>
              <w:spacing w:before="120" w:after="120"/>
              <w:jc w:val="start"/>
              <w:rPr/>
            </w:pPr>
            <w:r>
              <w:rPr/>
              <w:t>Compare archived signal state with: Regional and humanitarian escalation. Cross-border incidents, diplomatic activity, aid-access concerns, and widening humanitarian consequences sustained multi-domain pressure.</w:t>
            </w:r>
          </w:p>
        </w:tc>
        <w:tc>
          <w:tcPr>
            <w:tcW w:w="2728" w:type="dxa"/>
            <w:tcBorders/>
            <w:vAlign w:val="center"/>
          </w:tcPr>
          <w:p>
            <w:pPr>
              <w:pStyle w:val="TableContents"/>
              <w:bidi w:val="0"/>
              <w:spacing w:before="120" w:after="120"/>
              <w:jc w:val="start"/>
              <w:rPr/>
            </w:pPr>
            <w:r>
              <w:rPr/>
              <w:t>[DECISION POSTURE TO VALIDATE]</w:t>
            </w:r>
          </w:p>
        </w:tc>
      </w:tr>
      <w:tr>
        <w:trPr/>
        <w:tc>
          <w:tcPr>
            <w:tcW w:w="1648" w:type="dxa"/>
            <w:tcBorders/>
            <w:vAlign w:val="center"/>
          </w:tcPr>
          <w:p>
            <w:pPr>
              <w:pStyle w:val="TableContents"/>
              <w:bidi w:val="0"/>
              <w:spacing w:before="120" w:after="120"/>
              <w:jc w:val="start"/>
              <w:rPr/>
            </w:pPr>
            <w:r>
              <w:rPr/>
              <w:t>27 Oct. 2023</w:t>
            </w:r>
          </w:p>
        </w:tc>
        <w:tc>
          <w:tcPr>
            <w:tcW w:w="2206" w:type="dxa"/>
            <w:tcBorders/>
            <w:vAlign w:val="center"/>
          </w:tcPr>
          <w:p>
            <w:pPr>
              <w:pStyle w:val="TableContents"/>
              <w:bidi w:val="0"/>
              <w:spacing w:before="120" w:after="120"/>
              <w:jc w:val="start"/>
              <w:rPr/>
            </w:pPr>
            <w:r>
              <w:rPr/>
              <w:t>[TALOSAI DATA REQUIRED]</w:t>
            </w:r>
          </w:p>
        </w:tc>
        <w:tc>
          <w:tcPr>
            <w:tcW w:w="13401" w:type="dxa"/>
            <w:tcBorders/>
            <w:vAlign w:val="center"/>
          </w:tcPr>
          <w:p>
            <w:pPr>
              <w:pStyle w:val="TableContents"/>
              <w:bidi w:val="0"/>
              <w:spacing w:before="120" w:after="120"/>
              <w:jc w:val="start"/>
              <w:rPr/>
            </w:pPr>
            <w:r>
              <w:rPr/>
              <w:t>Compare archived signal state with: International diplomatic response. The UN General Assembly called for an immediate and sustained humanitarian truce and unhindered aid access.</w:t>
            </w:r>
          </w:p>
        </w:tc>
        <w:tc>
          <w:tcPr>
            <w:tcW w:w="2728" w:type="dxa"/>
            <w:tcBorders/>
            <w:vAlign w:val="center"/>
          </w:tcPr>
          <w:p>
            <w:pPr>
              <w:pStyle w:val="TableContents"/>
              <w:bidi w:val="0"/>
              <w:spacing w:before="120" w:after="120"/>
              <w:jc w:val="start"/>
              <w:rPr/>
            </w:pPr>
            <w:r>
              <w:rPr/>
              <w:t>[DECISION POSTURE TO VALIDATE]</w:t>
            </w:r>
          </w:p>
        </w:tc>
      </w:tr>
    </w:tbl>
    <w:p>
      <w:pPr>
        <w:pStyle w:val="Heading2"/>
        <w:bidi w:val="0"/>
        <w:jc w:val="start"/>
        <w:rPr/>
      </w:pPr>
      <w:r>
        <w:rPr/>
        <w:t>Visual Evidence: Output-Level Figures</w:t>
      </w:r>
    </w:p>
    <w:p>
      <w:pPr>
        <w:pStyle w:val="BodyText"/>
        <w:bidi w:val="0"/>
        <w:jc w:val="start"/>
        <w:rPr/>
      </w:pPr>
      <w:r>
        <w:rPr/>
        <w:t>Replace each placeholder with an exported Talosai chart using the same as-of data retained for the quantitative tables. Captions should state only what the figure visibly supports.</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1 placeholder.</w:t>
      </w:r>
      <w:r>
        <w:rPr>
          <w:bdr w:val="dashed" w:sz="6" w:space="10" w:color="8299A2"/>
          <w:shd w:fill="F7F9FA" w:val="clear"/>
        </w:rPr>
        <w:t xml:space="preserve"> Integrated risk and component streams from June through October 2023 with 7 October marked.</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2 placeholder.</w:t>
      </w:r>
      <w:r>
        <w:rPr>
          <w:bdr w:val="dashed" w:sz="6" w:space="10" w:color="8299A2"/>
          <w:shd w:fill="F7F9FA" w:val="clear"/>
        </w:rPr>
        <w:t xml:space="preserve"> Security, Governance, Society, Health, Economy, and Psychological Strain domain outputs.</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3 placeholder.</w:t>
      </w:r>
      <w:r>
        <w:rPr>
          <w:bdr w:val="dashed" w:sz="6" w:space="10" w:color="8299A2"/>
          <w:shd w:fill="F7F9FA" w:val="clear"/>
        </w:rPr>
        <w:t xml:space="preserve"> Domestic, regional, and external narrative share and divergence.</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4 placeholder.</w:t>
      </w:r>
      <w:r>
        <w:rPr>
          <w:bdr w:val="dashed" w:sz="6" w:space="10" w:color="8299A2"/>
          <w:shd w:fill="F7F9FA" w:val="clear"/>
        </w:rPr>
        <w:t xml:space="preserve"> Public-concern/search behavior around safety, travel, health, and essential services.</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5 placeholder.</w:t>
      </w:r>
      <w:r>
        <w:rPr>
          <w:bdr w:val="dashed" w:sz="6" w:space="10" w:color="8299A2"/>
          <w:shd w:fill="F7F9FA" w:val="clear"/>
        </w:rPr>
        <w:t xml:space="preserve"> Market/currency or financial-pressure confirmation.</w:t>
        <w:br/>
        <w:t>[INSERT VERIFIED TALOSAI VISUAL AND CAPTION]</w:t>
      </w:r>
    </w:p>
    <w:p>
      <w:pPr>
        <w:pStyle w:val="BodyText"/>
        <w:keepLines/>
        <w:bidi w:val="0"/>
        <w:spacing w:before="200" w:after="200"/>
        <w:ind w:hanging="0" w:start="200" w:end="200"/>
        <w:jc w:val="start"/>
        <w:rPr>
          <w:bdr w:val="dashed" w:sz="6" w:space="10" w:color="8299A2"/>
          <w:shd w:fill="F7F9FA" w:val="clear"/>
        </w:rPr>
      </w:pPr>
      <w:r>
        <w:rPr>
          <w:b/>
          <w:bdr w:val="dashed" w:sz="6" w:space="10" w:color="8299A2"/>
          <w:shd w:fill="F7F9FA" w:val="clear"/>
        </w:rPr>
        <w:t>Figure 6 placeholder.</w:t>
      </w:r>
      <w:r>
        <w:rPr>
          <w:bdr w:val="dashed" w:sz="6" w:space="10" w:color="8299A2"/>
          <w:shd w:fill="F7F9FA" w:val="clear"/>
        </w:rPr>
        <w:t xml:space="preserve"> Cross-domain convergence and signal-reliability changes before and after 7 October.</w:t>
        <w:br/>
        <w:t>[INSERT VERIFIED TALOSAI VISUAL AND CAPTION]</w:t>
      </w:r>
    </w:p>
    <w:p>
      <w:pPr>
        <w:pStyle w:val="Heading2"/>
        <w:bidi w:val="0"/>
        <w:jc w:val="start"/>
        <w:rPr/>
      </w:pPr>
      <w:r>
        <w:rPr/>
        <w:t>Performance Against Expected Indicators</w:t>
      </w:r>
    </w:p>
    <w:p>
      <w:pPr>
        <w:pStyle w:val="BodyText"/>
        <w:bidi w:val="0"/>
        <w:jc w:val="start"/>
        <w:rPr/>
      </w:pPr>
      <w:r>
        <w:rPr/>
        <w:t>The table below identifies the expected analytical tests. “Expected” does not mean “observed.” Findings must be changed to strong, moderate, weak, non-confirming, or unavailable only after the underlying output is reviewed.</w:t>
      </w:r>
    </w:p>
    <w:tbl>
      <w:tblPr>
        <w:tblW w:w="19983" w:type="dxa"/>
        <w:jc w:val="start"/>
        <w:tblInd w:w="0" w:type="dxa"/>
        <w:tblLayout w:type="fixed"/>
        <w:tblCellMar>
          <w:top w:w="28" w:type="dxa"/>
          <w:start w:w="28" w:type="dxa"/>
          <w:bottom w:w="28" w:type="dxa"/>
          <w:end w:w="28" w:type="dxa"/>
        </w:tblCellMar>
      </w:tblPr>
      <w:tblGrid>
        <w:gridCol w:w="3446"/>
        <w:gridCol w:w="3103"/>
        <w:gridCol w:w="8836"/>
        <w:gridCol w:w="4598"/>
      </w:tblGrid>
      <w:tr>
        <w:trPr>
          <w:tblHeader w:val="true"/>
        </w:trPr>
        <w:tc>
          <w:tcPr>
            <w:tcW w:w="3446" w:type="dxa"/>
            <w:tcBorders/>
            <w:vAlign w:val="center"/>
          </w:tcPr>
          <w:p>
            <w:pPr>
              <w:pStyle w:val="TableHeading"/>
              <w:suppressLineNumbers/>
              <w:shd w:fill="133B4A" w:val="clear"/>
              <w:bidi w:val="0"/>
              <w:spacing w:before="120" w:after="120"/>
              <w:jc w:val="start"/>
              <w:rPr/>
            </w:pPr>
            <w:r>
              <w:rPr/>
              <w:t>Indicator</w:t>
            </w:r>
          </w:p>
        </w:tc>
        <w:tc>
          <w:tcPr>
            <w:tcW w:w="3103" w:type="dxa"/>
            <w:tcBorders/>
            <w:vAlign w:val="center"/>
          </w:tcPr>
          <w:p>
            <w:pPr>
              <w:pStyle w:val="TableHeading"/>
              <w:suppressLineNumbers/>
              <w:shd w:fill="133B4A" w:val="clear"/>
              <w:bidi w:val="0"/>
              <w:spacing w:before="120" w:after="120"/>
              <w:jc w:val="start"/>
              <w:rPr/>
            </w:pPr>
            <w:r>
              <w:rPr/>
              <w:t>Pre-analysis expectation</w:t>
            </w:r>
          </w:p>
        </w:tc>
        <w:tc>
          <w:tcPr>
            <w:tcW w:w="8836" w:type="dxa"/>
            <w:tcBorders/>
            <w:vAlign w:val="center"/>
          </w:tcPr>
          <w:p>
            <w:pPr>
              <w:pStyle w:val="TableHeading"/>
              <w:suppressLineNumbers/>
              <w:shd w:fill="133B4A" w:val="clear"/>
              <w:bidi w:val="0"/>
              <w:spacing w:before="120" w:after="120"/>
              <w:jc w:val="start"/>
              <w:rPr/>
            </w:pPr>
            <w:r>
              <w:rPr/>
              <w:t>Evidence test</w:t>
            </w:r>
          </w:p>
        </w:tc>
        <w:tc>
          <w:tcPr>
            <w:tcW w:w="4598" w:type="dxa"/>
            <w:tcBorders/>
            <w:vAlign w:val="center"/>
          </w:tcPr>
          <w:p>
            <w:pPr>
              <w:pStyle w:val="TableHeading"/>
              <w:suppressLineNumbers/>
              <w:shd w:fill="133B4A" w:val="clear"/>
              <w:bidi w:val="0"/>
              <w:spacing w:before="120" w:after="120"/>
              <w:jc w:val="start"/>
              <w:rPr/>
            </w:pPr>
            <w:r>
              <w:rPr/>
              <w:t>Potential decision value</w:t>
            </w:r>
          </w:p>
        </w:tc>
      </w:tr>
      <w:tr>
        <w:trPr/>
        <w:tc>
          <w:tcPr>
            <w:tcW w:w="3446" w:type="dxa"/>
            <w:tcBorders/>
            <w:vAlign w:val="center"/>
          </w:tcPr>
          <w:p>
            <w:pPr>
              <w:pStyle w:val="TableContents"/>
              <w:bidi w:val="0"/>
              <w:spacing w:before="120" w:after="120"/>
              <w:jc w:val="start"/>
              <w:rPr/>
            </w:pPr>
            <w:r>
              <w:rPr/>
              <w:t>Security/National Defense</w:t>
            </w:r>
          </w:p>
        </w:tc>
        <w:tc>
          <w:tcPr>
            <w:tcW w:w="3103" w:type="dxa"/>
            <w:tcBorders/>
            <w:vAlign w:val="center"/>
          </w:tcPr>
          <w:p>
            <w:pPr>
              <w:pStyle w:val="TableContents"/>
              <w:bidi w:val="0"/>
              <w:spacing w:before="120" w:after="120"/>
              <w:jc w:val="start"/>
              <w:rPr/>
            </w:pPr>
            <w:r>
              <w:rPr/>
              <w:t>Expected immediate dominant signal</w:t>
            </w:r>
          </w:p>
        </w:tc>
        <w:tc>
          <w:tcPr>
            <w:tcW w:w="8836" w:type="dxa"/>
            <w:tcBorders/>
            <w:vAlign w:val="center"/>
          </w:tcPr>
          <w:p>
            <w:pPr>
              <w:pStyle w:val="TableContents"/>
              <w:bidi w:val="0"/>
              <w:spacing w:before="120" w:after="120"/>
              <w:jc w:val="start"/>
              <w:rPr/>
            </w:pPr>
            <w:r>
              <w:rPr/>
              <w:t>Measure the timing and magnitude of defense, border, rocket, hostage, and military-operation narratives.</w:t>
            </w:r>
          </w:p>
        </w:tc>
        <w:tc>
          <w:tcPr>
            <w:tcW w:w="4598" w:type="dxa"/>
            <w:tcBorders/>
            <w:vAlign w:val="center"/>
          </w:tcPr>
          <w:p>
            <w:pPr>
              <w:pStyle w:val="TableContents"/>
              <w:bidi w:val="0"/>
              <w:spacing w:before="120" w:after="120"/>
              <w:jc w:val="start"/>
              <w:rPr/>
            </w:pPr>
            <w:r>
              <w:rPr/>
              <w:t>Staff safety, shelter, movement, travel, and site posture.</w:t>
            </w:r>
          </w:p>
        </w:tc>
      </w:tr>
      <w:tr>
        <w:trPr/>
        <w:tc>
          <w:tcPr>
            <w:tcW w:w="3446" w:type="dxa"/>
            <w:tcBorders/>
            <w:vAlign w:val="center"/>
          </w:tcPr>
          <w:p>
            <w:pPr>
              <w:pStyle w:val="TableContents"/>
              <w:bidi w:val="0"/>
              <w:spacing w:before="120" w:after="120"/>
              <w:jc w:val="start"/>
              <w:rPr/>
            </w:pPr>
            <w:r>
              <w:rPr/>
              <w:t>Public concern/search behavior</w:t>
            </w:r>
          </w:p>
        </w:tc>
        <w:tc>
          <w:tcPr>
            <w:tcW w:w="3103" w:type="dxa"/>
            <w:tcBorders/>
            <w:vAlign w:val="center"/>
          </w:tcPr>
          <w:p>
            <w:pPr>
              <w:pStyle w:val="TableContents"/>
              <w:bidi w:val="0"/>
              <w:spacing w:before="120" w:after="120"/>
              <w:jc w:val="start"/>
              <w:rPr/>
            </w:pPr>
            <w:r>
              <w:rPr/>
              <w:t>Expected rapid confirmation</w:t>
            </w:r>
          </w:p>
        </w:tc>
        <w:tc>
          <w:tcPr>
            <w:tcW w:w="8836" w:type="dxa"/>
            <w:tcBorders/>
            <w:vAlign w:val="center"/>
          </w:tcPr>
          <w:p>
            <w:pPr>
              <w:pStyle w:val="TableContents"/>
              <w:bidi w:val="0"/>
              <w:spacing w:before="120" w:after="120"/>
              <w:jc w:val="start"/>
              <w:rPr/>
            </w:pPr>
            <w:r>
              <w:rPr/>
              <w:t>Assess safety, missing persons, shelter, flights, borders, hospitals, food, water, and communications topics at the supported category level.</w:t>
            </w:r>
          </w:p>
        </w:tc>
        <w:tc>
          <w:tcPr>
            <w:tcW w:w="4598" w:type="dxa"/>
            <w:tcBorders/>
            <w:vAlign w:val="center"/>
          </w:tcPr>
          <w:p>
            <w:pPr>
              <w:pStyle w:val="TableContents"/>
              <w:bidi w:val="0"/>
              <w:spacing w:before="120" w:after="120"/>
              <w:jc w:val="start"/>
              <w:rPr/>
            </w:pPr>
            <w:r>
              <w:rPr/>
              <w:t>Emergency communications and service demand planning.</w:t>
            </w:r>
          </w:p>
        </w:tc>
      </w:tr>
      <w:tr>
        <w:trPr/>
        <w:tc>
          <w:tcPr>
            <w:tcW w:w="3446" w:type="dxa"/>
            <w:tcBorders/>
            <w:vAlign w:val="center"/>
          </w:tcPr>
          <w:p>
            <w:pPr>
              <w:pStyle w:val="TableContents"/>
              <w:bidi w:val="0"/>
              <w:spacing w:before="120" w:after="120"/>
              <w:jc w:val="start"/>
              <w:rPr/>
            </w:pPr>
            <w:r>
              <w:rPr/>
              <w:t>Information-source divergence</w:t>
            </w:r>
          </w:p>
        </w:tc>
        <w:tc>
          <w:tcPr>
            <w:tcW w:w="3103" w:type="dxa"/>
            <w:tcBorders/>
            <w:vAlign w:val="center"/>
          </w:tcPr>
          <w:p>
            <w:pPr>
              <w:pStyle w:val="TableContents"/>
              <w:bidi w:val="0"/>
              <w:spacing w:before="120" w:after="120"/>
              <w:jc w:val="start"/>
              <w:rPr/>
            </w:pPr>
            <w:r>
              <w:rPr/>
              <w:t>Core signal-quality test</w:t>
            </w:r>
          </w:p>
        </w:tc>
        <w:tc>
          <w:tcPr>
            <w:tcW w:w="8836" w:type="dxa"/>
            <w:tcBorders/>
            <w:vAlign w:val="center"/>
          </w:tcPr>
          <w:p>
            <w:pPr>
              <w:pStyle w:val="TableContents"/>
              <w:bidi w:val="0"/>
              <w:spacing w:before="120" w:after="120"/>
              <w:jc w:val="start"/>
              <w:rPr/>
            </w:pPr>
            <w:r>
              <w:rPr/>
              <w:t>Compare domestic, regional, and external visibility; flag sharp disagreement, missingness, or access-related discontinuities.</w:t>
            </w:r>
          </w:p>
        </w:tc>
        <w:tc>
          <w:tcPr>
            <w:tcW w:w="4598" w:type="dxa"/>
            <w:tcBorders/>
            <w:vAlign w:val="center"/>
          </w:tcPr>
          <w:p>
            <w:pPr>
              <w:pStyle w:val="TableContents"/>
              <w:bidi w:val="0"/>
              <w:spacing w:before="120" w:after="120"/>
              <w:jc w:val="start"/>
              <w:rPr/>
            </w:pPr>
            <w:r>
              <w:rPr/>
              <w:t>Prevent false confidence from a single information channel.</w:t>
            </w:r>
          </w:p>
        </w:tc>
      </w:tr>
      <w:tr>
        <w:trPr/>
        <w:tc>
          <w:tcPr>
            <w:tcW w:w="3446" w:type="dxa"/>
            <w:tcBorders/>
            <w:vAlign w:val="center"/>
          </w:tcPr>
          <w:p>
            <w:pPr>
              <w:pStyle w:val="TableContents"/>
              <w:bidi w:val="0"/>
              <w:spacing w:before="120" w:after="120"/>
              <w:jc w:val="start"/>
              <w:rPr/>
            </w:pPr>
            <w:r>
              <w:rPr/>
              <w:t>Humanitarian and infrastructure pressure</w:t>
            </w:r>
          </w:p>
        </w:tc>
        <w:tc>
          <w:tcPr>
            <w:tcW w:w="3103" w:type="dxa"/>
            <w:tcBorders/>
            <w:vAlign w:val="center"/>
          </w:tcPr>
          <w:p>
            <w:pPr>
              <w:pStyle w:val="TableContents"/>
              <w:bidi w:val="0"/>
              <w:spacing w:before="120" w:after="120"/>
              <w:jc w:val="start"/>
              <w:rPr/>
            </w:pPr>
            <w:r>
              <w:rPr/>
              <w:t>Expected strong post-event convergence</w:t>
            </w:r>
          </w:p>
        </w:tc>
        <w:tc>
          <w:tcPr>
            <w:tcW w:w="8836" w:type="dxa"/>
            <w:tcBorders/>
            <w:vAlign w:val="center"/>
          </w:tcPr>
          <w:p>
            <w:pPr>
              <w:pStyle w:val="TableContents"/>
              <w:bidi w:val="0"/>
              <w:spacing w:before="120" w:after="120"/>
              <w:jc w:val="start"/>
              <w:rPr/>
            </w:pPr>
            <w:r>
              <w:rPr/>
              <w:t>Track health, displacement, utilities, access, and humanitarian narratives.</w:t>
            </w:r>
          </w:p>
        </w:tc>
        <w:tc>
          <w:tcPr>
            <w:tcW w:w="4598" w:type="dxa"/>
            <w:tcBorders/>
            <w:vAlign w:val="center"/>
          </w:tcPr>
          <w:p>
            <w:pPr>
              <w:pStyle w:val="TableContents"/>
              <w:bidi w:val="0"/>
              <w:spacing w:before="120" w:after="120"/>
              <w:jc w:val="start"/>
              <w:rPr/>
            </w:pPr>
            <w:r>
              <w:rPr/>
              <w:t>Medical, aid, supply, and continuity planning.</w:t>
            </w:r>
          </w:p>
        </w:tc>
      </w:tr>
      <w:tr>
        <w:trPr/>
        <w:tc>
          <w:tcPr>
            <w:tcW w:w="3446" w:type="dxa"/>
            <w:tcBorders/>
            <w:vAlign w:val="center"/>
          </w:tcPr>
          <w:p>
            <w:pPr>
              <w:pStyle w:val="TableContents"/>
              <w:bidi w:val="0"/>
              <w:spacing w:before="120" w:after="120"/>
              <w:jc w:val="start"/>
              <w:rPr/>
            </w:pPr>
            <w:r>
              <w:rPr/>
              <w:t>Regional market/currency pressure</w:t>
            </w:r>
          </w:p>
        </w:tc>
        <w:tc>
          <w:tcPr>
            <w:tcW w:w="3103" w:type="dxa"/>
            <w:tcBorders/>
            <w:vAlign w:val="center"/>
          </w:tcPr>
          <w:p>
            <w:pPr>
              <w:pStyle w:val="TableContents"/>
              <w:bidi w:val="0"/>
              <w:spacing w:before="120" w:after="120"/>
              <w:jc w:val="start"/>
              <w:rPr/>
            </w:pPr>
            <w:r>
              <w:rPr/>
              <w:t>Potential confirmation, not event timer</w:t>
            </w:r>
          </w:p>
        </w:tc>
        <w:tc>
          <w:tcPr>
            <w:tcW w:w="8836" w:type="dxa"/>
            <w:tcBorders/>
            <w:vAlign w:val="center"/>
          </w:tcPr>
          <w:p>
            <w:pPr>
              <w:pStyle w:val="TableContents"/>
              <w:bidi w:val="0"/>
              <w:spacing w:before="120" w:after="120"/>
              <w:jc w:val="start"/>
              <w:rPr/>
            </w:pPr>
            <w:r>
              <w:rPr/>
              <w:t>Assess whether financial indicators confirm wider regional risk.</w:t>
            </w:r>
          </w:p>
        </w:tc>
        <w:tc>
          <w:tcPr>
            <w:tcW w:w="4598" w:type="dxa"/>
            <w:tcBorders/>
            <w:vAlign w:val="center"/>
          </w:tcPr>
          <w:p>
            <w:pPr>
              <w:pStyle w:val="TableContents"/>
              <w:bidi w:val="0"/>
              <w:spacing w:before="120" w:after="120"/>
              <w:jc w:val="start"/>
              <w:rPr/>
            </w:pPr>
            <w:r>
              <w:rPr/>
              <w:t>Exposure, logistics, energy, insurance, and procurement review.</w:t>
            </w:r>
          </w:p>
        </w:tc>
      </w:tr>
      <w:tr>
        <w:trPr/>
        <w:tc>
          <w:tcPr>
            <w:tcW w:w="3446" w:type="dxa"/>
            <w:tcBorders/>
            <w:vAlign w:val="center"/>
          </w:tcPr>
          <w:p>
            <w:pPr>
              <w:pStyle w:val="TableContents"/>
              <w:bidi w:val="0"/>
              <w:spacing w:before="120" w:after="120"/>
              <w:jc w:val="start"/>
              <w:rPr/>
            </w:pPr>
            <w:r>
              <w:rPr/>
              <w:t>Cross-domain convergence</w:t>
            </w:r>
          </w:p>
        </w:tc>
        <w:tc>
          <w:tcPr>
            <w:tcW w:w="3103" w:type="dxa"/>
            <w:tcBorders/>
            <w:vAlign w:val="center"/>
          </w:tcPr>
          <w:p>
            <w:pPr>
              <w:pStyle w:val="TableContents"/>
              <w:bidi w:val="0"/>
              <w:spacing w:before="120" w:after="120"/>
              <w:jc w:val="start"/>
              <w:rPr/>
            </w:pPr>
            <w:r>
              <w:rPr/>
              <w:t>Core validation test</w:t>
            </w:r>
          </w:p>
        </w:tc>
        <w:tc>
          <w:tcPr>
            <w:tcW w:w="8836" w:type="dxa"/>
            <w:tcBorders/>
            <w:vAlign w:val="center"/>
          </w:tcPr>
          <w:p>
            <w:pPr>
              <w:pStyle w:val="TableContents"/>
              <w:bidi w:val="0"/>
              <w:spacing w:before="120" w:after="120"/>
              <w:jc w:val="start"/>
              <w:rPr/>
            </w:pPr>
            <w:r>
              <w:rPr/>
              <w:t>Determine how quickly security, governance, society, health, psychological strain, and economy became systemic.</w:t>
            </w:r>
          </w:p>
        </w:tc>
        <w:tc>
          <w:tcPr>
            <w:tcW w:w="4598" w:type="dxa"/>
            <w:tcBorders/>
            <w:vAlign w:val="center"/>
          </w:tcPr>
          <w:p>
            <w:pPr>
              <w:pStyle w:val="TableContents"/>
              <w:bidi w:val="0"/>
              <w:spacing w:before="120" w:after="120"/>
              <w:jc w:val="start"/>
              <w:rPr/>
            </w:pPr>
            <w:r>
              <w:rPr/>
              <w:t>Escalate from security incident to full crisis posture.</w:t>
            </w:r>
          </w:p>
        </w:tc>
      </w:tr>
    </w:tbl>
    <w:p>
      <w:pPr>
        <w:pStyle w:val="Heading2"/>
        <w:bidi w:val="0"/>
        <w:jc w:val="start"/>
        <w:rPr/>
      </w:pPr>
      <w:r>
        <w:rPr/>
        <w:t>Selected Quantified Evidence</w:t>
      </w:r>
    </w:p>
    <w:p>
      <w:pPr>
        <w:pStyle w:val="BodyText"/>
        <w:bidi w:val="0"/>
        <w:jc w:val="start"/>
        <w:rPr/>
      </w:pPr>
      <w:r>
        <w:rPr/>
        <w:t>Populate this section directly from archived Talosai exports. Retain dates, units, aggregation periods, and any missing-data caveats. Do not use current dashboard values as substitutes for historical as-of outputs.</w:t>
      </w:r>
    </w:p>
    <w:tbl>
      <w:tblPr>
        <w:tblW w:w="11450" w:type="dxa"/>
        <w:jc w:val="start"/>
        <w:tblInd w:w="0" w:type="dxa"/>
        <w:tblLayout w:type="fixed"/>
        <w:tblCellMar>
          <w:top w:w="28" w:type="dxa"/>
          <w:start w:w="28" w:type="dxa"/>
          <w:bottom w:w="28" w:type="dxa"/>
          <w:end w:w="28" w:type="dxa"/>
        </w:tblCellMar>
      </w:tblPr>
      <w:tblGrid>
        <w:gridCol w:w="3271"/>
        <w:gridCol w:w="1771"/>
        <w:gridCol w:w="2401"/>
        <w:gridCol w:w="1771"/>
        <w:gridCol w:w="2236"/>
      </w:tblGrid>
      <w:tr>
        <w:trPr>
          <w:tblHeader w:val="true"/>
        </w:trPr>
        <w:tc>
          <w:tcPr>
            <w:tcW w:w="3271" w:type="dxa"/>
            <w:tcBorders/>
            <w:vAlign w:val="center"/>
          </w:tcPr>
          <w:p>
            <w:pPr>
              <w:pStyle w:val="TableHeading"/>
              <w:suppressLineNumbers/>
              <w:shd w:fill="133B4A" w:val="clear"/>
              <w:bidi w:val="0"/>
              <w:spacing w:before="120" w:after="120"/>
              <w:jc w:val="start"/>
              <w:rPr/>
            </w:pPr>
            <w:r>
              <w:rPr/>
              <w:t>Evidence point</w:t>
            </w:r>
          </w:p>
        </w:tc>
        <w:tc>
          <w:tcPr>
            <w:tcW w:w="1771" w:type="dxa"/>
            <w:tcBorders/>
            <w:vAlign w:val="center"/>
          </w:tcPr>
          <w:p>
            <w:pPr>
              <w:pStyle w:val="TableHeading"/>
              <w:suppressLineNumbers/>
              <w:shd w:fill="133B4A" w:val="clear"/>
              <w:bidi w:val="0"/>
              <w:spacing w:before="120" w:after="120"/>
              <w:jc w:val="start"/>
              <w:rPr/>
            </w:pPr>
            <w:r>
              <w:rPr/>
              <w:t>Baseline</w:t>
            </w:r>
          </w:p>
        </w:tc>
        <w:tc>
          <w:tcPr>
            <w:tcW w:w="2401" w:type="dxa"/>
            <w:tcBorders/>
            <w:vAlign w:val="center"/>
          </w:tcPr>
          <w:p>
            <w:pPr>
              <w:pStyle w:val="TableHeading"/>
              <w:suppressLineNumbers/>
              <w:shd w:fill="133B4A" w:val="clear"/>
              <w:bidi w:val="0"/>
              <w:spacing w:before="120" w:after="120"/>
              <w:jc w:val="start"/>
              <w:rPr/>
            </w:pPr>
            <w:r>
              <w:rPr/>
              <w:t>Watch / early change</w:t>
            </w:r>
          </w:p>
        </w:tc>
        <w:tc>
          <w:tcPr>
            <w:tcW w:w="1771" w:type="dxa"/>
            <w:tcBorders/>
            <w:vAlign w:val="center"/>
          </w:tcPr>
          <w:p>
            <w:pPr>
              <w:pStyle w:val="TableHeading"/>
              <w:suppressLineNumbers/>
              <w:shd w:fill="133B4A" w:val="clear"/>
              <w:bidi w:val="0"/>
              <w:spacing w:before="120" w:after="120"/>
              <w:jc w:val="start"/>
              <w:rPr/>
            </w:pPr>
            <w:r>
              <w:rPr/>
              <w:t>Event window</w:t>
            </w:r>
          </w:p>
        </w:tc>
        <w:tc>
          <w:tcPr>
            <w:tcW w:w="2236" w:type="dxa"/>
            <w:tcBorders/>
            <w:vAlign w:val="center"/>
          </w:tcPr>
          <w:p>
            <w:pPr>
              <w:pStyle w:val="TableHeading"/>
              <w:suppressLineNumbers/>
              <w:shd w:fill="133B4A" w:val="clear"/>
              <w:bidi w:val="0"/>
              <w:spacing w:before="120" w:after="120"/>
              <w:jc w:val="start"/>
              <w:rPr/>
            </w:pPr>
            <w:r>
              <w:rPr/>
              <w:t>Later confirmation</w:t>
            </w:r>
          </w:p>
        </w:tc>
      </w:tr>
      <w:tr>
        <w:trPr/>
        <w:tc>
          <w:tcPr>
            <w:tcW w:w="3271" w:type="dxa"/>
            <w:tcBorders/>
            <w:vAlign w:val="center"/>
          </w:tcPr>
          <w:p>
            <w:pPr>
              <w:pStyle w:val="TableContents"/>
              <w:bidi w:val="0"/>
              <w:spacing w:before="120" w:after="120"/>
              <w:jc w:val="start"/>
              <w:rPr/>
            </w:pPr>
            <w:r>
              <w:rPr/>
              <w:t>Integrated Talosai risk index</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r>
        <w:trPr/>
        <w:tc>
          <w:tcPr>
            <w:tcW w:w="3271" w:type="dxa"/>
            <w:tcBorders/>
            <w:vAlign w:val="center"/>
          </w:tcPr>
          <w:p>
            <w:pPr>
              <w:pStyle w:val="TableContents"/>
              <w:bidi w:val="0"/>
              <w:spacing w:before="120" w:after="120"/>
              <w:jc w:val="start"/>
              <w:rPr/>
            </w:pPr>
            <w:r>
              <w:rPr/>
              <w:t>OSINT narrative pressure</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r>
        <w:trPr/>
        <w:tc>
          <w:tcPr>
            <w:tcW w:w="3271" w:type="dxa"/>
            <w:tcBorders/>
            <w:vAlign w:val="center"/>
          </w:tcPr>
          <w:p>
            <w:pPr>
              <w:pStyle w:val="TableContents"/>
              <w:bidi w:val="0"/>
              <w:spacing w:before="120" w:after="120"/>
              <w:jc w:val="start"/>
              <w:rPr/>
            </w:pPr>
            <w:r>
              <w:rPr/>
              <w:t>Public concern/search behavior</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r>
        <w:trPr/>
        <w:tc>
          <w:tcPr>
            <w:tcW w:w="3271" w:type="dxa"/>
            <w:tcBorders/>
            <w:vAlign w:val="center"/>
          </w:tcPr>
          <w:p>
            <w:pPr>
              <w:pStyle w:val="TableContents"/>
              <w:bidi w:val="0"/>
              <w:spacing w:before="120" w:after="120"/>
              <w:jc w:val="start"/>
              <w:rPr/>
            </w:pPr>
            <w:r>
              <w:rPr/>
              <w:t>Financial/currency pressure</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r>
        <w:trPr/>
        <w:tc>
          <w:tcPr>
            <w:tcW w:w="3271" w:type="dxa"/>
            <w:tcBorders/>
            <w:vAlign w:val="center"/>
          </w:tcPr>
          <w:p>
            <w:pPr>
              <w:pStyle w:val="TableContents"/>
              <w:bidi w:val="0"/>
              <w:spacing w:before="120" w:after="120"/>
              <w:jc w:val="start"/>
              <w:rPr/>
            </w:pPr>
            <w:r>
              <w:rPr/>
              <w:t>Domains elevated</w:t>
            </w:r>
          </w:p>
        </w:tc>
        <w:tc>
          <w:tcPr>
            <w:tcW w:w="1771" w:type="dxa"/>
            <w:tcBorders/>
            <w:vAlign w:val="center"/>
          </w:tcPr>
          <w:p>
            <w:pPr>
              <w:pStyle w:val="TableContents"/>
              <w:bidi w:val="0"/>
              <w:spacing w:before="120" w:after="120"/>
              <w:jc w:val="start"/>
              <w:rPr/>
            </w:pPr>
            <w:r>
              <w:rPr/>
              <w:t>[COUNT / DATE]</w:t>
            </w:r>
          </w:p>
        </w:tc>
        <w:tc>
          <w:tcPr>
            <w:tcW w:w="2401" w:type="dxa"/>
            <w:tcBorders/>
            <w:vAlign w:val="center"/>
          </w:tcPr>
          <w:p>
            <w:pPr>
              <w:pStyle w:val="TableContents"/>
              <w:bidi w:val="0"/>
              <w:spacing w:before="120" w:after="120"/>
              <w:jc w:val="start"/>
              <w:rPr/>
            </w:pPr>
            <w:r>
              <w:rPr/>
              <w:t>[COUNT / DATE]</w:t>
            </w:r>
          </w:p>
        </w:tc>
        <w:tc>
          <w:tcPr>
            <w:tcW w:w="1771" w:type="dxa"/>
            <w:tcBorders/>
            <w:vAlign w:val="center"/>
          </w:tcPr>
          <w:p>
            <w:pPr>
              <w:pStyle w:val="TableContents"/>
              <w:bidi w:val="0"/>
              <w:spacing w:before="120" w:after="120"/>
              <w:jc w:val="start"/>
              <w:rPr/>
            </w:pPr>
            <w:r>
              <w:rPr/>
              <w:t>[COUNT / DATE]</w:t>
            </w:r>
          </w:p>
        </w:tc>
        <w:tc>
          <w:tcPr>
            <w:tcW w:w="2236" w:type="dxa"/>
            <w:tcBorders/>
            <w:vAlign w:val="center"/>
          </w:tcPr>
          <w:p>
            <w:pPr>
              <w:pStyle w:val="TableContents"/>
              <w:bidi w:val="0"/>
              <w:spacing w:before="120" w:after="120"/>
              <w:jc w:val="start"/>
              <w:rPr/>
            </w:pPr>
            <w:r>
              <w:rPr/>
              <w:t>[COUNT / DATE]</w:t>
            </w:r>
          </w:p>
        </w:tc>
      </w:tr>
      <w:tr>
        <w:trPr/>
        <w:tc>
          <w:tcPr>
            <w:tcW w:w="3271" w:type="dxa"/>
            <w:tcBorders/>
            <w:vAlign w:val="center"/>
          </w:tcPr>
          <w:p>
            <w:pPr>
              <w:pStyle w:val="TableContents"/>
              <w:bidi w:val="0"/>
              <w:spacing w:before="120" w:after="120"/>
              <w:jc w:val="start"/>
              <w:rPr/>
            </w:pPr>
            <w:r>
              <w:rPr/>
              <w:t>Source visibility / divergence</w:t>
            </w:r>
          </w:p>
        </w:tc>
        <w:tc>
          <w:tcPr>
            <w:tcW w:w="1771" w:type="dxa"/>
            <w:tcBorders/>
            <w:vAlign w:val="center"/>
          </w:tcPr>
          <w:p>
            <w:pPr>
              <w:pStyle w:val="TableContents"/>
              <w:bidi w:val="0"/>
              <w:spacing w:before="120" w:after="120"/>
              <w:jc w:val="start"/>
              <w:rPr/>
            </w:pPr>
            <w:r>
              <w:rPr/>
              <w:t>[VALUE / DATE]</w:t>
            </w:r>
          </w:p>
        </w:tc>
        <w:tc>
          <w:tcPr>
            <w:tcW w:w="2401" w:type="dxa"/>
            <w:tcBorders/>
            <w:vAlign w:val="center"/>
          </w:tcPr>
          <w:p>
            <w:pPr>
              <w:pStyle w:val="TableContents"/>
              <w:bidi w:val="0"/>
              <w:spacing w:before="120" w:after="120"/>
              <w:jc w:val="start"/>
              <w:rPr/>
            </w:pPr>
            <w:r>
              <w:rPr/>
              <w:t>[VALUE / DATE]</w:t>
            </w:r>
          </w:p>
        </w:tc>
        <w:tc>
          <w:tcPr>
            <w:tcW w:w="1771" w:type="dxa"/>
            <w:tcBorders/>
            <w:vAlign w:val="center"/>
          </w:tcPr>
          <w:p>
            <w:pPr>
              <w:pStyle w:val="TableContents"/>
              <w:bidi w:val="0"/>
              <w:spacing w:before="120" w:after="120"/>
              <w:jc w:val="start"/>
              <w:rPr/>
            </w:pPr>
            <w:r>
              <w:rPr/>
              <w:t>[VALUE / DATE]</w:t>
            </w:r>
          </w:p>
        </w:tc>
        <w:tc>
          <w:tcPr>
            <w:tcW w:w="2236" w:type="dxa"/>
            <w:tcBorders/>
            <w:vAlign w:val="center"/>
          </w:tcPr>
          <w:p>
            <w:pPr>
              <w:pStyle w:val="TableContents"/>
              <w:bidi w:val="0"/>
              <w:spacing w:before="120" w:after="120"/>
              <w:jc w:val="start"/>
              <w:rPr/>
            </w:pPr>
            <w:r>
              <w:rPr/>
              <w:t>[VALUE / DATE]</w:t>
            </w:r>
          </w:p>
        </w:tc>
      </w:tr>
    </w:tbl>
    <w:p>
      <w:pPr>
        <w:pStyle w:val="Heading2"/>
        <w:bidi w:val="0"/>
        <w:jc w:val="start"/>
        <w:rPr/>
      </w:pPr>
      <w:r>
        <w:rPr/>
        <w:t>Validation Against Talosai Differentiator Questions</w:t>
      </w:r>
    </w:p>
    <w:tbl>
      <w:tblPr>
        <w:tblW w:w="17283" w:type="dxa"/>
        <w:jc w:val="start"/>
        <w:tblInd w:w="0" w:type="dxa"/>
        <w:tblLayout w:type="fixed"/>
        <w:tblCellMar>
          <w:top w:w="28" w:type="dxa"/>
          <w:start w:w="28" w:type="dxa"/>
          <w:bottom w:w="28" w:type="dxa"/>
          <w:end w:w="28" w:type="dxa"/>
        </w:tblCellMar>
      </w:tblPr>
      <w:tblGrid>
        <w:gridCol w:w="5581"/>
        <w:gridCol w:w="1846"/>
        <w:gridCol w:w="9856"/>
      </w:tblGrid>
      <w:tr>
        <w:trPr>
          <w:tblHeader w:val="true"/>
        </w:trPr>
        <w:tc>
          <w:tcPr>
            <w:tcW w:w="5581" w:type="dxa"/>
            <w:tcBorders/>
            <w:vAlign w:val="center"/>
          </w:tcPr>
          <w:p>
            <w:pPr>
              <w:pStyle w:val="TableHeading"/>
              <w:suppressLineNumbers/>
              <w:shd w:fill="133B4A" w:val="clear"/>
              <w:bidi w:val="0"/>
              <w:spacing w:before="120" w:after="120"/>
              <w:jc w:val="start"/>
              <w:rPr/>
            </w:pPr>
            <w:r>
              <w:rPr/>
              <w:t>Validation question</w:t>
            </w:r>
          </w:p>
        </w:tc>
        <w:tc>
          <w:tcPr>
            <w:tcW w:w="1846" w:type="dxa"/>
            <w:tcBorders/>
            <w:vAlign w:val="center"/>
          </w:tcPr>
          <w:p>
            <w:pPr>
              <w:pStyle w:val="TableHeading"/>
              <w:suppressLineNumbers/>
              <w:shd w:fill="133B4A" w:val="clear"/>
              <w:bidi w:val="0"/>
              <w:spacing w:before="120" w:after="120"/>
              <w:jc w:val="start"/>
              <w:rPr/>
            </w:pPr>
            <w:r>
              <w:rPr/>
              <w:t>Assessment</w:t>
            </w:r>
          </w:p>
        </w:tc>
        <w:tc>
          <w:tcPr>
            <w:tcW w:w="9856" w:type="dxa"/>
            <w:tcBorders/>
            <w:vAlign w:val="center"/>
          </w:tcPr>
          <w:p>
            <w:pPr>
              <w:pStyle w:val="TableHeading"/>
              <w:suppressLineNumbers/>
              <w:shd w:fill="133B4A" w:val="clear"/>
              <w:bidi w:val="0"/>
              <w:spacing w:before="120" w:after="120"/>
              <w:jc w:val="start"/>
              <w:rPr/>
            </w:pPr>
            <w:r>
              <w:rPr/>
              <w:t>Evidence required before release</w:t>
            </w:r>
          </w:p>
        </w:tc>
      </w:tr>
      <w:tr>
        <w:trPr/>
        <w:tc>
          <w:tcPr>
            <w:tcW w:w="5581" w:type="dxa"/>
            <w:tcBorders/>
            <w:vAlign w:val="center"/>
          </w:tcPr>
          <w:p>
            <w:pPr>
              <w:pStyle w:val="TableContents"/>
              <w:bidi w:val="0"/>
              <w:spacing w:before="120" w:after="120"/>
              <w:jc w:val="start"/>
              <w:rPr/>
            </w:pPr>
            <w:r>
              <w:rPr/>
              <w:t>Did pressure accelerate before the event or crisis state?</w:t>
            </w:r>
          </w:p>
        </w:tc>
        <w:tc>
          <w:tcPr>
            <w:tcW w:w="1846" w:type="dxa"/>
            <w:tcBorders/>
            <w:vAlign w:val="center"/>
          </w:tcPr>
          <w:p>
            <w:pPr>
              <w:pStyle w:val="TableContents"/>
              <w:bidi w:val="0"/>
              <w:spacing w:before="120" w:after="120"/>
              <w:jc w:val="start"/>
              <w:rPr/>
            </w:pPr>
            <w:r>
              <w:rPr/>
              <w:t>[TO DETERMINE]</w:t>
            </w:r>
          </w:p>
        </w:tc>
        <w:tc>
          <w:tcPr>
            <w:tcW w:w="9856" w:type="dxa"/>
            <w:tcBorders/>
            <w:vAlign w:val="center"/>
          </w:tcPr>
          <w:p>
            <w:pPr>
              <w:pStyle w:val="TableContents"/>
              <w:bidi w:val="0"/>
              <w:spacing w:before="120" w:after="120"/>
              <w:jc w:val="start"/>
              <w:rPr/>
            </w:pPr>
            <w:r>
              <w:rPr/>
              <w:t>Archived trend direction, magnitude, and first abnormal as-of date.</w:t>
            </w:r>
          </w:p>
        </w:tc>
      </w:tr>
      <w:tr>
        <w:trPr/>
        <w:tc>
          <w:tcPr>
            <w:tcW w:w="5581" w:type="dxa"/>
            <w:tcBorders/>
            <w:vAlign w:val="center"/>
          </w:tcPr>
          <w:p>
            <w:pPr>
              <w:pStyle w:val="TableContents"/>
              <w:bidi w:val="0"/>
              <w:spacing w:before="120" w:after="120"/>
              <w:jc w:val="start"/>
              <w:rPr/>
            </w:pPr>
            <w:r>
              <w:rPr/>
              <w:t>Did multiple independent domains converge?</w:t>
            </w:r>
          </w:p>
        </w:tc>
        <w:tc>
          <w:tcPr>
            <w:tcW w:w="1846" w:type="dxa"/>
            <w:tcBorders/>
            <w:vAlign w:val="center"/>
          </w:tcPr>
          <w:p>
            <w:pPr>
              <w:pStyle w:val="TableContents"/>
              <w:bidi w:val="0"/>
              <w:spacing w:before="120" w:after="120"/>
              <w:jc w:val="start"/>
              <w:rPr/>
            </w:pPr>
            <w:r>
              <w:rPr/>
              <w:t>[TO DETERMINE]</w:t>
            </w:r>
          </w:p>
        </w:tc>
        <w:tc>
          <w:tcPr>
            <w:tcW w:w="9856" w:type="dxa"/>
            <w:tcBorders/>
            <w:vAlign w:val="center"/>
          </w:tcPr>
          <w:p>
            <w:pPr>
              <w:pStyle w:val="TableContents"/>
              <w:bidi w:val="0"/>
              <w:spacing w:before="120" w:after="120"/>
              <w:jc w:val="start"/>
              <w:rPr/>
            </w:pPr>
            <w:r>
              <w:rPr/>
              <w:t>Domain values and tested convergence window.</w:t>
            </w:r>
          </w:p>
        </w:tc>
      </w:tr>
      <w:tr>
        <w:trPr/>
        <w:tc>
          <w:tcPr>
            <w:tcW w:w="5581" w:type="dxa"/>
            <w:tcBorders/>
            <w:vAlign w:val="center"/>
          </w:tcPr>
          <w:p>
            <w:pPr>
              <w:pStyle w:val="TableContents"/>
              <w:bidi w:val="0"/>
              <w:spacing w:before="120" w:after="120"/>
              <w:jc w:val="start"/>
              <w:rPr/>
            </w:pPr>
            <w:r>
              <w:rPr/>
              <w:t>Did divergence or signal impairment appear?</w:t>
            </w:r>
          </w:p>
        </w:tc>
        <w:tc>
          <w:tcPr>
            <w:tcW w:w="1846" w:type="dxa"/>
            <w:tcBorders/>
            <w:vAlign w:val="center"/>
          </w:tcPr>
          <w:p>
            <w:pPr>
              <w:pStyle w:val="TableContents"/>
              <w:bidi w:val="0"/>
              <w:spacing w:before="120" w:after="120"/>
              <w:jc w:val="start"/>
              <w:rPr/>
            </w:pPr>
            <w:r>
              <w:rPr/>
              <w:t>[TO DETERMINE]</w:t>
            </w:r>
          </w:p>
        </w:tc>
        <w:tc>
          <w:tcPr>
            <w:tcW w:w="9856" w:type="dxa"/>
            <w:tcBorders/>
            <w:vAlign w:val="center"/>
          </w:tcPr>
          <w:p>
            <w:pPr>
              <w:pStyle w:val="TableContents"/>
              <w:bidi w:val="0"/>
              <w:spacing w:before="120" w:after="120"/>
              <w:jc w:val="start"/>
              <w:rPr/>
            </w:pPr>
            <w:r>
              <w:rPr/>
              <w:t>Source balance, missingness, public-search discontinuities, or non-confirming financial movement.</w:t>
            </w:r>
          </w:p>
        </w:tc>
      </w:tr>
      <w:tr>
        <w:trPr/>
        <w:tc>
          <w:tcPr>
            <w:tcW w:w="5581" w:type="dxa"/>
            <w:tcBorders/>
            <w:vAlign w:val="center"/>
          </w:tcPr>
          <w:p>
            <w:pPr>
              <w:pStyle w:val="TableContents"/>
              <w:bidi w:val="0"/>
              <w:spacing w:before="120" w:after="120"/>
              <w:jc w:val="start"/>
              <w:rPr/>
            </w:pPr>
            <w:r>
              <w:rPr/>
              <w:t>Did isolated stress become systemic stress?</w:t>
            </w:r>
          </w:p>
        </w:tc>
        <w:tc>
          <w:tcPr>
            <w:tcW w:w="1846" w:type="dxa"/>
            <w:tcBorders/>
            <w:vAlign w:val="center"/>
          </w:tcPr>
          <w:p>
            <w:pPr>
              <w:pStyle w:val="TableContents"/>
              <w:bidi w:val="0"/>
              <w:spacing w:before="120" w:after="120"/>
              <w:jc w:val="start"/>
              <w:rPr/>
            </w:pPr>
            <w:r>
              <w:rPr/>
              <w:t>[TO DETERMINE]</w:t>
            </w:r>
          </w:p>
        </w:tc>
        <w:tc>
          <w:tcPr>
            <w:tcW w:w="9856" w:type="dxa"/>
            <w:tcBorders/>
            <w:vAlign w:val="center"/>
          </w:tcPr>
          <w:p>
            <w:pPr>
              <w:pStyle w:val="TableContents"/>
              <w:bidi w:val="0"/>
              <w:spacing w:before="120" w:after="120"/>
              <w:jc w:val="start"/>
              <w:rPr/>
            </w:pPr>
            <w:r>
              <w:rPr/>
              <w:t>Integrated risk transition and number of elevated streams/domains.</w:t>
            </w:r>
          </w:p>
        </w:tc>
      </w:tr>
      <w:tr>
        <w:trPr/>
        <w:tc>
          <w:tcPr>
            <w:tcW w:w="5581" w:type="dxa"/>
            <w:tcBorders/>
            <w:vAlign w:val="center"/>
          </w:tcPr>
          <w:p>
            <w:pPr>
              <w:pStyle w:val="TableContents"/>
              <w:bidi w:val="0"/>
              <w:spacing w:before="120" w:after="120"/>
              <w:jc w:val="start"/>
              <w:rPr/>
            </w:pPr>
            <w:r>
              <w:rPr/>
              <w:t>Did Talosai support forward-looking posture guidance?</w:t>
            </w:r>
          </w:p>
        </w:tc>
        <w:tc>
          <w:tcPr>
            <w:tcW w:w="1846" w:type="dxa"/>
            <w:tcBorders/>
            <w:vAlign w:val="center"/>
          </w:tcPr>
          <w:p>
            <w:pPr>
              <w:pStyle w:val="TableContents"/>
              <w:bidi w:val="0"/>
              <w:spacing w:before="120" w:after="120"/>
              <w:jc w:val="start"/>
              <w:rPr/>
            </w:pPr>
            <w:r>
              <w:rPr/>
              <w:t>[TO DETERMINE]</w:t>
            </w:r>
          </w:p>
        </w:tc>
        <w:tc>
          <w:tcPr>
            <w:tcW w:w="9856" w:type="dxa"/>
            <w:tcBorders/>
            <w:vAlign w:val="center"/>
          </w:tcPr>
          <w:p>
            <w:pPr>
              <w:pStyle w:val="TableContents"/>
              <w:bidi w:val="0"/>
              <w:spacing w:before="120" w:after="120"/>
              <w:jc w:val="start"/>
              <w:rPr/>
            </w:pPr>
            <w:r>
              <w:rPr/>
              <w:t>Archived forecast or documented risk-state guidance available at the time.</w:t>
            </w:r>
          </w:p>
        </w:tc>
      </w:tr>
      <w:tr>
        <w:trPr/>
        <w:tc>
          <w:tcPr>
            <w:tcW w:w="5581" w:type="dxa"/>
            <w:tcBorders/>
            <w:vAlign w:val="center"/>
          </w:tcPr>
          <w:p>
            <w:pPr>
              <w:pStyle w:val="TableContents"/>
              <w:bidi w:val="0"/>
              <w:spacing w:before="120" w:after="120"/>
              <w:jc w:val="start"/>
              <w:rPr/>
            </w:pPr>
            <w:r>
              <w:rPr/>
              <w:t>How early was the first defensible signal?</w:t>
            </w:r>
          </w:p>
        </w:tc>
        <w:tc>
          <w:tcPr>
            <w:tcW w:w="1846" w:type="dxa"/>
            <w:tcBorders/>
            <w:vAlign w:val="center"/>
          </w:tcPr>
          <w:p>
            <w:pPr>
              <w:pStyle w:val="TableContents"/>
              <w:bidi w:val="0"/>
              <w:spacing w:before="120" w:after="120"/>
              <w:jc w:val="start"/>
              <w:rPr/>
            </w:pPr>
            <w:r>
              <w:rPr/>
              <w:t>[TO CALCULATE]</w:t>
            </w:r>
          </w:p>
        </w:tc>
        <w:tc>
          <w:tcPr>
            <w:tcW w:w="9856" w:type="dxa"/>
            <w:tcBorders/>
            <w:vAlign w:val="center"/>
          </w:tcPr>
          <w:p>
            <w:pPr>
              <w:pStyle w:val="TableContents"/>
              <w:bidi w:val="0"/>
              <w:spacing w:before="120" w:after="120"/>
              <w:jc w:val="start"/>
              <w:rPr/>
            </w:pPr>
            <w:r>
              <w:rPr/>
              <w:t>First supported as-of date compared with the chosen event anchor.</w:t>
            </w:r>
          </w:p>
        </w:tc>
      </w:tr>
    </w:tbl>
    <w:p>
      <w:pPr>
        <w:pStyle w:val="Heading2"/>
        <w:bidi w:val="0"/>
        <w:jc w:val="start"/>
        <w:rPr/>
      </w:pPr>
      <w:r>
        <w:rPr/>
        <w:t>Systemic Correlation and Convergence</w:t>
      </w:r>
    </w:p>
    <w:p>
      <w:pPr>
        <w:pStyle w:val="BodyText"/>
        <w:bidi w:val="0"/>
        <w:jc w:val="start"/>
        <w:rPr/>
      </w:pPr>
      <w:r>
        <w:rPr/>
        <w:t>Correlation should be used to explain relationships, not to imply causation or prediction. Select windows before examining the result, report sample size where possible, and distinguish full-window correlation from event-window co-movement. Negative or broken relationships can be informative when a stream is impaired or when one signal legitimately does not confirm the crisis.</w:t>
      </w:r>
    </w:p>
    <w:tbl>
      <w:tblPr>
        <w:tblW w:w="13730" w:type="dxa"/>
        <w:jc w:val="start"/>
        <w:tblInd w:w="0" w:type="dxa"/>
        <w:tblLayout w:type="fixed"/>
        <w:tblCellMar>
          <w:top w:w="28" w:type="dxa"/>
          <w:start w:w="28" w:type="dxa"/>
          <w:bottom w:w="28" w:type="dxa"/>
          <w:end w:w="28" w:type="dxa"/>
        </w:tblCellMar>
      </w:tblPr>
      <w:tblGrid>
        <w:gridCol w:w="3286"/>
        <w:gridCol w:w="1966"/>
        <w:gridCol w:w="2476"/>
        <w:gridCol w:w="2071"/>
        <w:gridCol w:w="3931"/>
      </w:tblGrid>
      <w:tr>
        <w:trPr>
          <w:tblHeader w:val="true"/>
        </w:trPr>
        <w:tc>
          <w:tcPr>
            <w:tcW w:w="3286" w:type="dxa"/>
            <w:tcBorders/>
            <w:vAlign w:val="center"/>
          </w:tcPr>
          <w:p>
            <w:pPr>
              <w:pStyle w:val="TableHeading"/>
              <w:suppressLineNumbers/>
              <w:shd w:fill="133B4A" w:val="clear"/>
              <w:bidi w:val="0"/>
              <w:spacing w:before="120" w:after="120"/>
              <w:jc w:val="start"/>
              <w:rPr/>
            </w:pPr>
            <w:r>
              <w:rPr/>
              <w:t>Co-movement pair</w:t>
            </w:r>
          </w:p>
        </w:tc>
        <w:tc>
          <w:tcPr>
            <w:tcW w:w="1966" w:type="dxa"/>
            <w:tcBorders/>
            <w:vAlign w:val="center"/>
          </w:tcPr>
          <w:p>
            <w:pPr>
              <w:pStyle w:val="TableHeading"/>
              <w:suppressLineNumbers/>
              <w:shd w:fill="133B4A" w:val="clear"/>
              <w:bidi w:val="0"/>
              <w:spacing w:before="120" w:after="120"/>
              <w:jc w:val="start"/>
              <w:rPr/>
            </w:pPr>
            <w:r>
              <w:rPr/>
              <w:t>Baseline window</w:t>
            </w:r>
          </w:p>
        </w:tc>
        <w:tc>
          <w:tcPr>
            <w:tcW w:w="2476" w:type="dxa"/>
            <w:tcBorders/>
            <w:vAlign w:val="center"/>
          </w:tcPr>
          <w:p>
            <w:pPr>
              <w:pStyle w:val="TableHeading"/>
              <w:suppressLineNumbers/>
              <w:shd w:fill="133B4A" w:val="clear"/>
              <w:bidi w:val="0"/>
              <w:spacing w:before="120" w:after="120"/>
              <w:jc w:val="start"/>
              <w:rPr/>
            </w:pPr>
            <w:r>
              <w:rPr/>
              <w:t>Pre-event / formation</w:t>
            </w:r>
          </w:p>
        </w:tc>
        <w:tc>
          <w:tcPr>
            <w:tcW w:w="2071" w:type="dxa"/>
            <w:tcBorders/>
            <w:vAlign w:val="center"/>
          </w:tcPr>
          <w:p>
            <w:pPr>
              <w:pStyle w:val="TableHeading"/>
              <w:suppressLineNumbers/>
              <w:shd w:fill="133B4A" w:val="clear"/>
              <w:bidi w:val="0"/>
              <w:spacing w:before="120" w:after="120"/>
              <w:jc w:val="start"/>
              <w:rPr/>
            </w:pPr>
            <w:r>
              <w:rPr/>
              <w:t>Event / escalation</w:t>
            </w:r>
          </w:p>
        </w:tc>
        <w:tc>
          <w:tcPr>
            <w:tcW w:w="3931" w:type="dxa"/>
            <w:tcBorders/>
            <w:vAlign w:val="center"/>
          </w:tcPr>
          <w:p>
            <w:pPr>
              <w:pStyle w:val="TableHeading"/>
              <w:suppressLineNumbers/>
              <w:shd w:fill="133B4A" w:val="clear"/>
              <w:bidi w:val="0"/>
              <w:spacing w:before="120" w:after="120"/>
              <w:jc w:val="start"/>
              <w:rPr/>
            </w:pPr>
            <w:r>
              <w:rPr/>
              <w:t>Interpretation</w:t>
            </w:r>
          </w:p>
        </w:tc>
      </w:tr>
      <w:tr>
        <w:trPr/>
        <w:tc>
          <w:tcPr>
            <w:tcW w:w="3286" w:type="dxa"/>
            <w:tcBorders/>
            <w:vAlign w:val="center"/>
          </w:tcPr>
          <w:p>
            <w:pPr>
              <w:pStyle w:val="TableContents"/>
              <w:bidi w:val="0"/>
              <w:spacing w:before="120" w:after="120"/>
              <w:jc w:val="start"/>
              <w:rPr/>
            </w:pPr>
            <w:r>
              <w:rPr/>
              <w:t>Narrative ↔ Public concern</w:t>
            </w:r>
          </w:p>
        </w:tc>
        <w:tc>
          <w:tcPr>
            <w:tcW w:w="1966" w:type="dxa"/>
            <w:tcBorders/>
            <w:vAlign w:val="center"/>
          </w:tcPr>
          <w:p>
            <w:pPr>
              <w:pStyle w:val="TableContents"/>
              <w:bidi w:val="0"/>
              <w:spacing w:before="120" w:after="120"/>
              <w:jc w:val="start"/>
              <w:rPr/>
            </w:pPr>
            <w:r>
              <w:rPr/>
              <w:t>[r / n]</w:t>
            </w:r>
          </w:p>
        </w:tc>
        <w:tc>
          <w:tcPr>
            <w:tcW w:w="2476" w:type="dxa"/>
            <w:tcBorders/>
            <w:vAlign w:val="center"/>
          </w:tcPr>
          <w:p>
            <w:pPr>
              <w:pStyle w:val="TableContents"/>
              <w:bidi w:val="0"/>
              <w:spacing w:before="120" w:after="120"/>
              <w:jc w:val="start"/>
              <w:rPr/>
            </w:pPr>
            <w:r>
              <w:rPr/>
              <w:t>[r / n]</w:t>
            </w:r>
          </w:p>
        </w:tc>
        <w:tc>
          <w:tcPr>
            <w:tcW w:w="2071" w:type="dxa"/>
            <w:tcBorders/>
            <w:vAlign w:val="center"/>
          </w:tcPr>
          <w:p>
            <w:pPr>
              <w:pStyle w:val="TableContents"/>
              <w:bidi w:val="0"/>
              <w:spacing w:before="120" w:after="120"/>
              <w:jc w:val="start"/>
              <w:rPr/>
            </w:pPr>
            <w:r>
              <w:rPr/>
              <w:t>[r / n]</w:t>
            </w:r>
          </w:p>
        </w:tc>
        <w:tc>
          <w:tcPr>
            <w:tcW w:w="3931" w:type="dxa"/>
            <w:tcBorders/>
            <w:vAlign w:val="center"/>
          </w:tcPr>
          <w:p>
            <w:pPr>
              <w:pStyle w:val="TableContents"/>
              <w:bidi w:val="0"/>
              <w:spacing w:before="120" w:after="120"/>
              <w:jc w:val="start"/>
              <w:rPr/>
            </w:pPr>
            <w:r>
              <w:rPr/>
              <w:t>[TALOSAI ANALYST INTERPRETATION]</w:t>
            </w:r>
          </w:p>
        </w:tc>
      </w:tr>
      <w:tr>
        <w:trPr/>
        <w:tc>
          <w:tcPr>
            <w:tcW w:w="3286" w:type="dxa"/>
            <w:tcBorders/>
            <w:vAlign w:val="center"/>
          </w:tcPr>
          <w:p>
            <w:pPr>
              <w:pStyle w:val="TableContents"/>
              <w:bidi w:val="0"/>
              <w:spacing w:before="120" w:after="120"/>
              <w:jc w:val="start"/>
              <w:rPr/>
            </w:pPr>
            <w:r>
              <w:rPr/>
              <w:t>Narrative ↔ Financial pressure</w:t>
            </w:r>
          </w:p>
        </w:tc>
        <w:tc>
          <w:tcPr>
            <w:tcW w:w="1966" w:type="dxa"/>
            <w:tcBorders/>
            <w:vAlign w:val="center"/>
          </w:tcPr>
          <w:p>
            <w:pPr>
              <w:pStyle w:val="TableContents"/>
              <w:bidi w:val="0"/>
              <w:spacing w:before="120" w:after="120"/>
              <w:jc w:val="start"/>
              <w:rPr/>
            </w:pPr>
            <w:r>
              <w:rPr/>
              <w:t>[r / n]</w:t>
            </w:r>
          </w:p>
        </w:tc>
        <w:tc>
          <w:tcPr>
            <w:tcW w:w="2476" w:type="dxa"/>
            <w:tcBorders/>
            <w:vAlign w:val="center"/>
          </w:tcPr>
          <w:p>
            <w:pPr>
              <w:pStyle w:val="TableContents"/>
              <w:bidi w:val="0"/>
              <w:spacing w:before="120" w:after="120"/>
              <w:jc w:val="start"/>
              <w:rPr/>
            </w:pPr>
            <w:r>
              <w:rPr/>
              <w:t>[r / n]</w:t>
            </w:r>
          </w:p>
        </w:tc>
        <w:tc>
          <w:tcPr>
            <w:tcW w:w="2071" w:type="dxa"/>
            <w:tcBorders/>
            <w:vAlign w:val="center"/>
          </w:tcPr>
          <w:p>
            <w:pPr>
              <w:pStyle w:val="TableContents"/>
              <w:bidi w:val="0"/>
              <w:spacing w:before="120" w:after="120"/>
              <w:jc w:val="start"/>
              <w:rPr/>
            </w:pPr>
            <w:r>
              <w:rPr/>
              <w:t>[r / n]</w:t>
            </w:r>
          </w:p>
        </w:tc>
        <w:tc>
          <w:tcPr>
            <w:tcW w:w="3931" w:type="dxa"/>
            <w:tcBorders/>
            <w:vAlign w:val="center"/>
          </w:tcPr>
          <w:p>
            <w:pPr>
              <w:pStyle w:val="TableContents"/>
              <w:bidi w:val="0"/>
              <w:spacing w:before="120" w:after="120"/>
              <w:jc w:val="start"/>
              <w:rPr/>
            </w:pPr>
            <w:r>
              <w:rPr/>
              <w:t>[TALOSAI ANALYST INTERPRETATION]</w:t>
            </w:r>
          </w:p>
        </w:tc>
      </w:tr>
      <w:tr>
        <w:trPr/>
        <w:tc>
          <w:tcPr>
            <w:tcW w:w="3286" w:type="dxa"/>
            <w:tcBorders/>
            <w:vAlign w:val="center"/>
          </w:tcPr>
          <w:p>
            <w:pPr>
              <w:pStyle w:val="TableContents"/>
              <w:bidi w:val="0"/>
              <w:spacing w:before="120" w:after="120"/>
              <w:jc w:val="start"/>
              <w:rPr/>
            </w:pPr>
            <w:r>
              <w:rPr/>
              <w:t>Governance ↔ Society</w:t>
            </w:r>
          </w:p>
        </w:tc>
        <w:tc>
          <w:tcPr>
            <w:tcW w:w="1966" w:type="dxa"/>
            <w:tcBorders/>
            <w:vAlign w:val="center"/>
          </w:tcPr>
          <w:p>
            <w:pPr>
              <w:pStyle w:val="TableContents"/>
              <w:bidi w:val="0"/>
              <w:spacing w:before="120" w:after="120"/>
              <w:jc w:val="start"/>
              <w:rPr/>
            </w:pPr>
            <w:r>
              <w:rPr/>
              <w:t>[r / n]</w:t>
            </w:r>
          </w:p>
        </w:tc>
        <w:tc>
          <w:tcPr>
            <w:tcW w:w="2476" w:type="dxa"/>
            <w:tcBorders/>
            <w:vAlign w:val="center"/>
          </w:tcPr>
          <w:p>
            <w:pPr>
              <w:pStyle w:val="TableContents"/>
              <w:bidi w:val="0"/>
              <w:spacing w:before="120" w:after="120"/>
              <w:jc w:val="start"/>
              <w:rPr/>
            </w:pPr>
            <w:r>
              <w:rPr/>
              <w:t>[r / n]</w:t>
            </w:r>
          </w:p>
        </w:tc>
        <w:tc>
          <w:tcPr>
            <w:tcW w:w="2071" w:type="dxa"/>
            <w:tcBorders/>
            <w:vAlign w:val="center"/>
          </w:tcPr>
          <w:p>
            <w:pPr>
              <w:pStyle w:val="TableContents"/>
              <w:bidi w:val="0"/>
              <w:spacing w:before="120" w:after="120"/>
              <w:jc w:val="start"/>
              <w:rPr/>
            </w:pPr>
            <w:r>
              <w:rPr/>
              <w:t>[r / n]</w:t>
            </w:r>
          </w:p>
        </w:tc>
        <w:tc>
          <w:tcPr>
            <w:tcW w:w="3931" w:type="dxa"/>
            <w:tcBorders/>
            <w:vAlign w:val="center"/>
          </w:tcPr>
          <w:p>
            <w:pPr>
              <w:pStyle w:val="TableContents"/>
              <w:bidi w:val="0"/>
              <w:spacing w:before="120" w:after="120"/>
              <w:jc w:val="start"/>
              <w:rPr/>
            </w:pPr>
            <w:r>
              <w:rPr/>
              <w:t>[TALOSAI ANALYST INTERPRETATION]</w:t>
            </w:r>
          </w:p>
        </w:tc>
      </w:tr>
      <w:tr>
        <w:trPr/>
        <w:tc>
          <w:tcPr>
            <w:tcW w:w="3286" w:type="dxa"/>
            <w:tcBorders/>
            <w:vAlign w:val="center"/>
          </w:tcPr>
          <w:p>
            <w:pPr>
              <w:pStyle w:val="TableContents"/>
              <w:bidi w:val="0"/>
              <w:spacing w:before="120" w:after="120"/>
              <w:jc w:val="start"/>
              <w:rPr/>
            </w:pPr>
            <w:r>
              <w:rPr/>
              <w:t>Security/Defense ↔ Society</w:t>
            </w:r>
          </w:p>
        </w:tc>
        <w:tc>
          <w:tcPr>
            <w:tcW w:w="1966" w:type="dxa"/>
            <w:tcBorders/>
            <w:vAlign w:val="center"/>
          </w:tcPr>
          <w:p>
            <w:pPr>
              <w:pStyle w:val="TableContents"/>
              <w:bidi w:val="0"/>
              <w:spacing w:before="120" w:after="120"/>
              <w:jc w:val="start"/>
              <w:rPr/>
            </w:pPr>
            <w:r>
              <w:rPr/>
              <w:t>[r / n]</w:t>
            </w:r>
          </w:p>
        </w:tc>
        <w:tc>
          <w:tcPr>
            <w:tcW w:w="2476" w:type="dxa"/>
            <w:tcBorders/>
            <w:vAlign w:val="center"/>
          </w:tcPr>
          <w:p>
            <w:pPr>
              <w:pStyle w:val="TableContents"/>
              <w:bidi w:val="0"/>
              <w:spacing w:before="120" w:after="120"/>
              <w:jc w:val="start"/>
              <w:rPr/>
            </w:pPr>
            <w:r>
              <w:rPr/>
              <w:t>[r / n]</w:t>
            </w:r>
          </w:p>
        </w:tc>
        <w:tc>
          <w:tcPr>
            <w:tcW w:w="2071" w:type="dxa"/>
            <w:tcBorders/>
            <w:vAlign w:val="center"/>
          </w:tcPr>
          <w:p>
            <w:pPr>
              <w:pStyle w:val="TableContents"/>
              <w:bidi w:val="0"/>
              <w:spacing w:before="120" w:after="120"/>
              <w:jc w:val="start"/>
              <w:rPr/>
            </w:pPr>
            <w:r>
              <w:rPr/>
              <w:t>[r / n]</w:t>
            </w:r>
          </w:p>
        </w:tc>
        <w:tc>
          <w:tcPr>
            <w:tcW w:w="3931" w:type="dxa"/>
            <w:tcBorders/>
            <w:vAlign w:val="center"/>
          </w:tcPr>
          <w:p>
            <w:pPr>
              <w:pStyle w:val="TableContents"/>
              <w:bidi w:val="0"/>
              <w:spacing w:before="120" w:after="120"/>
              <w:jc w:val="start"/>
              <w:rPr/>
            </w:pPr>
            <w:r>
              <w:rPr/>
              <w:t>[TALOSAI ANALYST INTERPRETATION]</w:t>
            </w:r>
          </w:p>
        </w:tc>
      </w:tr>
      <w:tr>
        <w:trPr/>
        <w:tc>
          <w:tcPr>
            <w:tcW w:w="3286" w:type="dxa"/>
            <w:tcBorders/>
            <w:vAlign w:val="center"/>
          </w:tcPr>
          <w:p>
            <w:pPr>
              <w:pStyle w:val="TableContents"/>
              <w:bidi w:val="0"/>
              <w:spacing w:before="120" w:after="120"/>
              <w:jc w:val="start"/>
              <w:rPr/>
            </w:pPr>
            <w:r>
              <w:rPr/>
              <w:t>Economy ↔ Governance</w:t>
            </w:r>
          </w:p>
        </w:tc>
        <w:tc>
          <w:tcPr>
            <w:tcW w:w="1966" w:type="dxa"/>
            <w:tcBorders/>
            <w:vAlign w:val="center"/>
          </w:tcPr>
          <w:p>
            <w:pPr>
              <w:pStyle w:val="TableContents"/>
              <w:bidi w:val="0"/>
              <w:spacing w:before="120" w:after="120"/>
              <w:jc w:val="start"/>
              <w:rPr/>
            </w:pPr>
            <w:r>
              <w:rPr/>
              <w:t>[r / n]</w:t>
            </w:r>
          </w:p>
        </w:tc>
        <w:tc>
          <w:tcPr>
            <w:tcW w:w="2476" w:type="dxa"/>
            <w:tcBorders/>
            <w:vAlign w:val="center"/>
          </w:tcPr>
          <w:p>
            <w:pPr>
              <w:pStyle w:val="TableContents"/>
              <w:bidi w:val="0"/>
              <w:spacing w:before="120" w:after="120"/>
              <w:jc w:val="start"/>
              <w:rPr/>
            </w:pPr>
            <w:r>
              <w:rPr/>
              <w:t>[r / n]</w:t>
            </w:r>
          </w:p>
        </w:tc>
        <w:tc>
          <w:tcPr>
            <w:tcW w:w="2071" w:type="dxa"/>
            <w:tcBorders/>
            <w:vAlign w:val="center"/>
          </w:tcPr>
          <w:p>
            <w:pPr>
              <w:pStyle w:val="TableContents"/>
              <w:bidi w:val="0"/>
              <w:spacing w:before="120" w:after="120"/>
              <w:jc w:val="start"/>
              <w:rPr/>
            </w:pPr>
            <w:r>
              <w:rPr/>
              <w:t>[r / n]</w:t>
            </w:r>
          </w:p>
        </w:tc>
        <w:tc>
          <w:tcPr>
            <w:tcW w:w="3931" w:type="dxa"/>
            <w:tcBorders/>
            <w:vAlign w:val="center"/>
          </w:tcPr>
          <w:p>
            <w:pPr>
              <w:pStyle w:val="TableContents"/>
              <w:bidi w:val="0"/>
              <w:spacing w:before="120" w:after="120"/>
              <w:jc w:val="start"/>
              <w:rPr/>
            </w:pPr>
            <w:r>
              <w:rPr/>
              <w:t>[TALOSAI ANALYST INTERPRETATION]</w:t>
            </w:r>
          </w:p>
        </w:tc>
      </w:tr>
    </w:tbl>
    <w:p>
      <w:pPr>
        <w:pStyle w:val="Heading2"/>
        <w:bidi w:val="0"/>
        <w:jc w:val="start"/>
        <w:rPr/>
      </w:pPr>
      <w:r>
        <w:rPr/>
        <w:t>Decision-Relevance Assessment</w:t>
      </w:r>
    </w:p>
    <w:p>
      <w:pPr>
        <w:pStyle w:val="BodyText"/>
        <w:bidi w:val="0"/>
        <w:jc w:val="start"/>
        <w:rPr/>
      </w:pPr>
      <w:r>
        <w:rPr/>
        <w:t>The purpose of the case is to connect an observed signal state to actions a decision-maker could reasonably take at that time. Recommendations should be proportional to evidence and should not imply that Talosai directs operational decisions without human judgment.</w:t>
      </w:r>
    </w:p>
    <w:tbl>
      <w:tblPr>
        <w:tblW w:w="19983" w:type="dxa"/>
        <w:jc w:val="start"/>
        <w:tblInd w:w="0" w:type="dxa"/>
        <w:tblLayout w:type="fixed"/>
        <w:tblCellMar>
          <w:top w:w="28" w:type="dxa"/>
          <w:start w:w="28" w:type="dxa"/>
          <w:bottom w:w="28" w:type="dxa"/>
          <w:end w:w="28" w:type="dxa"/>
        </w:tblCellMar>
      </w:tblPr>
      <w:tblGrid>
        <w:gridCol w:w="3709"/>
        <w:gridCol w:w="7114"/>
        <w:gridCol w:w="9160"/>
      </w:tblGrid>
      <w:tr>
        <w:trPr>
          <w:tblHeader w:val="true"/>
        </w:trPr>
        <w:tc>
          <w:tcPr>
            <w:tcW w:w="3709" w:type="dxa"/>
            <w:tcBorders/>
            <w:vAlign w:val="center"/>
          </w:tcPr>
          <w:p>
            <w:pPr>
              <w:pStyle w:val="TableHeading"/>
              <w:suppressLineNumbers/>
              <w:shd w:fill="133B4A" w:val="clear"/>
              <w:bidi w:val="0"/>
              <w:spacing w:before="120" w:after="120"/>
              <w:jc w:val="start"/>
              <w:rPr/>
            </w:pPr>
            <w:r>
              <w:rPr/>
              <w:t>Alert posture</w:t>
            </w:r>
          </w:p>
        </w:tc>
        <w:tc>
          <w:tcPr>
            <w:tcW w:w="7114" w:type="dxa"/>
            <w:tcBorders/>
            <w:vAlign w:val="center"/>
          </w:tcPr>
          <w:p>
            <w:pPr>
              <w:pStyle w:val="TableHeading"/>
              <w:suppressLineNumbers/>
              <w:shd w:fill="133B4A" w:val="clear"/>
              <w:bidi w:val="0"/>
              <w:spacing w:before="120" w:after="120"/>
              <w:jc w:val="start"/>
              <w:rPr/>
            </w:pPr>
            <w:r>
              <w:rPr/>
              <w:t>Signal basis</w:t>
            </w:r>
          </w:p>
        </w:tc>
        <w:tc>
          <w:tcPr>
            <w:tcW w:w="9160" w:type="dxa"/>
            <w:tcBorders/>
            <w:vAlign w:val="center"/>
          </w:tcPr>
          <w:p>
            <w:pPr>
              <w:pStyle w:val="TableHeading"/>
              <w:suppressLineNumbers/>
              <w:shd w:fill="133B4A" w:val="clear"/>
              <w:bidi w:val="0"/>
              <w:spacing w:before="120" w:after="120"/>
              <w:jc w:val="start"/>
              <w:rPr/>
            </w:pPr>
            <w:r>
              <w:rPr/>
              <w:t>Decision-maker actions supported</w:t>
            </w:r>
          </w:p>
        </w:tc>
      </w:tr>
      <w:tr>
        <w:trPr/>
        <w:tc>
          <w:tcPr>
            <w:tcW w:w="3709" w:type="dxa"/>
            <w:tcBorders/>
            <w:vAlign w:val="center"/>
          </w:tcPr>
          <w:p>
            <w:pPr>
              <w:pStyle w:val="TableContents"/>
              <w:bidi w:val="0"/>
              <w:spacing w:before="120" w:after="120"/>
              <w:jc w:val="start"/>
              <w:rPr/>
            </w:pPr>
            <w:r>
              <w:rPr/>
              <w:t>Monitor / background tension</w:t>
            </w:r>
          </w:p>
        </w:tc>
        <w:tc>
          <w:tcPr>
            <w:tcW w:w="7114" w:type="dxa"/>
            <w:tcBorders/>
            <w:vAlign w:val="center"/>
          </w:tcPr>
          <w:p>
            <w:pPr>
              <w:pStyle w:val="TableContents"/>
              <w:bidi w:val="0"/>
              <w:spacing w:before="120" w:after="120"/>
              <w:jc w:val="start"/>
              <w:rPr/>
            </w:pPr>
            <w:r>
              <w:rPr/>
              <w:t>Elevated regional baseline without abnormal, corroborated convergence.</w:t>
            </w:r>
          </w:p>
        </w:tc>
        <w:tc>
          <w:tcPr>
            <w:tcW w:w="9160" w:type="dxa"/>
            <w:tcBorders/>
            <w:vAlign w:val="center"/>
          </w:tcPr>
          <w:p>
            <w:pPr>
              <w:pStyle w:val="TableContents"/>
              <w:bidi w:val="0"/>
              <w:spacing w:before="120" w:after="120"/>
              <w:jc w:val="start"/>
              <w:rPr/>
            </w:pPr>
            <w:r>
              <w:rPr/>
              <w:t>Maintain routine country and regional exposure monitoring.</w:t>
            </w:r>
          </w:p>
        </w:tc>
      </w:tr>
      <w:tr>
        <w:trPr/>
        <w:tc>
          <w:tcPr>
            <w:tcW w:w="3709" w:type="dxa"/>
            <w:tcBorders/>
            <w:vAlign w:val="center"/>
          </w:tcPr>
          <w:p>
            <w:pPr>
              <w:pStyle w:val="TableContents"/>
              <w:bidi w:val="0"/>
              <w:spacing w:before="120" w:after="120"/>
              <w:jc w:val="start"/>
              <w:rPr/>
            </w:pPr>
            <w:r>
              <w:rPr/>
              <w:t>Pre-event watch—only if supported</w:t>
            </w:r>
          </w:p>
        </w:tc>
        <w:tc>
          <w:tcPr>
            <w:tcW w:w="7114" w:type="dxa"/>
            <w:tcBorders/>
            <w:vAlign w:val="center"/>
          </w:tcPr>
          <w:p>
            <w:pPr>
              <w:pStyle w:val="TableContents"/>
              <w:bidi w:val="0"/>
              <w:spacing w:before="120" w:after="120"/>
              <w:jc w:val="start"/>
              <w:rPr/>
            </w:pPr>
            <w:r>
              <w:rPr/>
              <w:t>Archived outputs show abnormal and persistent movement before 7 October.</w:t>
            </w:r>
          </w:p>
        </w:tc>
        <w:tc>
          <w:tcPr>
            <w:tcW w:w="9160" w:type="dxa"/>
            <w:tcBorders/>
            <w:vAlign w:val="center"/>
          </w:tcPr>
          <w:p>
            <w:pPr>
              <w:pStyle w:val="TableContents"/>
              <w:bidi w:val="0"/>
              <w:spacing w:before="120" w:after="120"/>
              <w:jc w:val="start"/>
              <w:rPr/>
            </w:pPr>
            <w:r>
              <w:rPr/>
              <w:t>Increase reporting and define concrete safety, travel, and communications triggers.</w:t>
            </w:r>
          </w:p>
        </w:tc>
      </w:tr>
      <w:tr>
        <w:trPr/>
        <w:tc>
          <w:tcPr>
            <w:tcW w:w="3709" w:type="dxa"/>
            <w:tcBorders/>
            <w:vAlign w:val="center"/>
          </w:tcPr>
          <w:p>
            <w:pPr>
              <w:pStyle w:val="TableContents"/>
              <w:bidi w:val="0"/>
              <w:spacing w:before="120" w:after="120"/>
              <w:jc w:val="start"/>
              <w:rPr/>
            </w:pPr>
            <w:r>
              <w:rPr/>
              <w:t>Immediate security alert</w:t>
            </w:r>
          </w:p>
        </w:tc>
        <w:tc>
          <w:tcPr>
            <w:tcW w:w="7114" w:type="dxa"/>
            <w:tcBorders/>
            <w:vAlign w:val="center"/>
          </w:tcPr>
          <w:p>
            <w:pPr>
              <w:pStyle w:val="TableContents"/>
              <w:bidi w:val="0"/>
              <w:spacing w:before="120" w:after="120"/>
              <w:jc w:val="start"/>
              <w:rPr/>
            </w:pPr>
            <w:r>
              <w:rPr/>
              <w:t>Attack and defense signals accelerate on 7 October.</w:t>
            </w:r>
          </w:p>
        </w:tc>
        <w:tc>
          <w:tcPr>
            <w:tcW w:w="9160" w:type="dxa"/>
            <w:tcBorders/>
            <w:vAlign w:val="center"/>
          </w:tcPr>
          <w:p>
            <w:pPr>
              <w:pStyle w:val="TableContents"/>
              <w:bidi w:val="0"/>
              <w:spacing w:before="120" w:after="120"/>
              <w:jc w:val="start"/>
              <w:rPr/>
            </w:pPr>
            <w:r>
              <w:rPr/>
              <w:t>Account for personnel; restrict movement; activate shelter, communications, and travel procedures.</w:t>
            </w:r>
          </w:p>
        </w:tc>
      </w:tr>
      <w:tr>
        <w:trPr/>
        <w:tc>
          <w:tcPr>
            <w:tcW w:w="3709" w:type="dxa"/>
            <w:tcBorders/>
            <w:vAlign w:val="center"/>
          </w:tcPr>
          <w:p>
            <w:pPr>
              <w:pStyle w:val="TableContents"/>
              <w:bidi w:val="0"/>
              <w:spacing w:before="120" w:after="120"/>
              <w:jc w:val="start"/>
              <w:rPr/>
            </w:pPr>
            <w:r>
              <w:rPr/>
              <w:t>Systemic humanitarian-security crisis</w:t>
            </w:r>
          </w:p>
        </w:tc>
        <w:tc>
          <w:tcPr>
            <w:tcW w:w="7114" w:type="dxa"/>
            <w:tcBorders/>
            <w:vAlign w:val="center"/>
          </w:tcPr>
          <w:p>
            <w:pPr>
              <w:pStyle w:val="TableContents"/>
              <w:bidi w:val="0"/>
              <w:spacing w:before="120" w:after="120"/>
              <w:jc w:val="start"/>
              <w:rPr/>
            </w:pPr>
            <w:r>
              <w:rPr/>
              <w:t>Security, health, society, infrastructure, and public concern converge.</w:t>
            </w:r>
          </w:p>
        </w:tc>
        <w:tc>
          <w:tcPr>
            <w:tcW w:w="9160" w:type="dxa"/>
            <w:tcBorders/>
            <w:vAlign w:val="center"/>
          </w:tcPr>
          <w:p>
            <w:pPr>
              <w:pStyle w:val="TableContents"/>
              <w:bidi w:val="0"/>
              <w:spacing w:before="120" w:after="120"/>
              <w:jc w:val="start"/>
              <w:rPr/>
            </w:pPr>
            <w:r>
              <w:rPr/>
              <w:t>Activate continuity and humanitarian-support plans; review critical supplies and medical access.</w:t>
            </w:r>
          </w:p>
        </w:tc>
      </w:tr>
      <w:tr>
        <w:trPr/>
        <w:tc>
          <w:tcPr>
            <w:tcW w:w="3709" w:type="dxa"/>
            <w:tcBorders/>
            <w:vAlign w:val="center"/>
          </w:tcPr>
          <w:p>
            <w:pPr>
              <w:pStyle w:val="TableContents"/>
              <w:bidi w:val="0"/>
              <w:spacing w:before="120" w:after="120"/>
              <w:jc w:val="start"/>
              <w:rPr/>
            </w:pPr>
            <w:r>
              <w:rPr/>
              <w:t>Regional escalation watch</w:t>
            </w:r>
          </w:p>
        </w:tc>
        <w:tc>
          <w:tcPr>
            <w:tcW w:w="7114" w:type="dxa"/>
            <w:tcBorders/>
            <w:vAlign w:val="center"/>
          </w:tcPr>
          <w:p>
            <w:pPr>
              <w:pStyle w:val="TableContents"/>
              <w:bidi w:val="0"/>
              <w:spacing w:before="120" w:after="120"/>
              <w:jc w:val="start"/>
              <w:rPr/>
            </w:pPr>
            <w:r>
              <w:rPr/>
              <w:t>Cross-border, diplomatic, energy, market, or transport pressure broadens.</w:t>
            </w:r>
          </w:p>
        </w:tc>
        <w:tc>
          <w:tcPr>
            <w:tcW w:w="9160" w:type="dxa"/>
            <w:tcBorders/>
            <w:vAlign w:val="center"/>
          </w:tcPr>
          <w:p>
            <w:pPr>
              <w:pStyle w:val="TableContents"/>
              <w:bidi w:val="0"/>
              <w:spacing w:before="120" w:after="120"/>
              <w:jc w:val="start"/>
              <w:rPr/>
            </w:pPr>
            <w:r>
              <w:rPr/>
              <w:t>Review regional travel, shipping, aviation, insurance, energy, and supplier exposure.</w:t>
            </w:r>
          </w:p>
        </w:tc>
      </w:tr>
      <w:tr>
        <w:trPr/>
        <w:tc>
          <w:tcPr>
            <w:tcW w:w="3709" w:type="dxa"/>
            <w:tcBorders/>
            <w:vAlign w:val="center"/>
          </w:tcPr>
          <w:p>
            <w:pPr>
              <w:pStyle w:val="TableContents"/>
              <w:bidi w:val="0"/>
              <w:spacing w:before="120" w:after="120"/>
              <w:jc w:val="start"/>
              <w:rPr/>
            </w:pPr>
            <w:r>
              <w:rPr/>
              <w:t>Sustained high-consequence posture</w:t>
            </w:r>
          </w:p>
        </w:tc>
        <w:tc>
          <w:tcPr>
            <w:tcW w:w="7114" w:type="dxa"/>
            <w:tcBorders/>
            <w:vAlign w:val="center"/>
          </w:tcPr>
          <w:p>
            <w:pPr>
              <w:pStyle w:val="TableContents"/>
              <w:bidi w:val="0"/>
              <w:spacing w:before="120" w:after="120"/>
              <w:jc w:val="start"/>
              <w:rPr/>
            </w:pPr>
            <w:r>
              <w:rPr/>
              <w:t>Signals remain elevated despite tactical pauses or diplomacy.</w:t>
            </w:r>
          </w:p>
        </w:tc>
        <w:tc>
          <w:tcPr>
            <w:tcW w:w="9160" w:type="dxa"/>
            <w:tcBorders/>
            <w:vAlign w:val="center"/>
          </w:tcPr>
          <w:p>
            <w:pPr>
              <w:pStyle w:val="TableContents"/>
              <w:bidi w:val="0"/>
              <w:spacing w:before="120" w:after="120"/>
              <w:jc w:val="start"/>
              <w:rPr/>
            </w:pPr>
            <w:r>
              <w:rPr/>
              <w:t>Avoid premature normalization; maintain decision cadence and source-validation discipline.</w:t>
            </w:r>
          </w:p>
        </w:tc>
      </w:tr>
    </w:tbl>
    <w:p>
      <w:pPr>
        <w:pStyle w:val="Heading2"/>
        <w:bidi w:val="0"/>
        <w:jc w:val="start"/>
        <w:rPr/>
      </w:pPr>
      <w:r>
        <w:rPr/>
        <w:t>Important Data and Attribution Notes</w:t>
      </w:r>
    </w:p>
    <w:p>
      <w:pPr>
        <w:pStyle w:val="BodyText"/>
        <w:numPr>
          <w:ilvl w:val="0"/>
          <w:numId w:val="2"/>
        </w:numPr>
        <w:tabs>
          <w:tab w:val="clear" w:pos="1134"/>
          <w:tab w:val="left" w:pos="829" w:leader="none"/>
        </w:tabs>
        <w:bidi w:val="0"/>
        <w:spacing w:before="120" w:after="0"/>
        <w:ind w:hanging="283" w:start="829"/>
        <w:jc w:val="start"/>
        <w:rPr/>
      </w:pPr>
      <w:r>
        <w:rPr/>
        <w:t>All Talosai values, lead times, correlations, and forecast claims must come from archived as-of outputs. No retrospective value should be presented as if it were available earlier.</w:t>
      </w:r>
    </w:p>
    <w:p>
      <w:pPr>
        <w:pStyle w:val="BodyText"/>
        <w:numPr>
          <w:ilvl w:val="0"/>
          <w:numId w:val="2"/>
        </w:numPr>
        <w:tabs>
          <w:tab w:val="clear" w:pos="1134"/>
          <w:tab w:val="left" w:pos="829" w:leader="none"/>
        </w:tabs>
        <w:bidi w:val="0"/>
        <w:spacing w:before="120" w:after="0"/>
        <w:ind w:hanging="283" w:start="829"/>
        <w:jc w:val="start"/>
        <w:rPr/>
      </w:pPr>
      <w:r>
        <w:rPr/>
        <w:t>The analysis window should be confirmed against actual data availability before charts or lead-time calculations are produced.</w:t>
      </w:r>
    </w:p>
    <w:p>
      <w:pPr>
        <w:pStyle w:val="BodyText"/>
        <w:numPr>
          <w:ilvl w:val="0"/>
          <w:numId w:val="2"/>
        </w:numPr>
        <w:tabs>
          <w:tab w:val="clear" w:pos="1134"/>
          <w:tab w:val="left" w:pos="829" w:leader="none"/>
        </w:tabs>
        <w:bidi w:val="0"/>
        <w:spacing w:before="120" w:after="0"/>
        <w:ind w:hanging="283" w:start="829"/>
        <w:jc w:val="start"/>
        <w:rPr/>
      </w:pPr>
      <w:r>
        <w:rPr/>
        <w:t>Event dates are reference anchors. They do not prove that a contemporaneous signal predicted the event.</w:t>
      </w:r>
    </w:p>
    <w:p>
      <w:pPr>
        <w:pStyle w:val="BodyText"/>
        <w:numPr>
          <w:ilvl w:val="0"/>
          <w:numId w:val="2"/>
        </w:numPr>
        <w:tabs>
          <w:tab w:val="clear" w:pos="1134"/>
          <w:tab w:val="left" w:pos="829" w:leader="none"/>
        </w:tabs>
        <w:bidi w:val="0"/>
        <w:spacing w:before="120" w:after="0"/>
        <w:ind w:hanging="283" w:start="829"/>
        <w:jc w:val="start"/>
        <w:rPr/>
      </w:pPr>
      <w:r>
        <w:rPr/>
        <w:t>Public-search behavior may be sparse, language-dependent, geographically uneven, or affected by access restrictions. Topic-level spikes can be more informative than a broad composite.</w:t>
      </w:r>
    </w:p>
    <w:p>
      <w:pPr>
        <w:pStyle w:val="BodyText"/>
        <w:numPr>
          <w:ilvl w:val="0"/>
          <w:numId w:val="2"/>
        </w:numPr>
        <w:tabs>
          <w:tab w:val="clear" w:pos="1134"/>
          <w:tab w:val="left" w:pos="829" w:leader="none"/>
        </w:tabs>
        <w:bidi w:val="0"/>
        <w:spacing w:before="120" w:after="0"/>
        <w:ind w:hanging="283" w:start="829"/>
        <w:jc w:val="start"/>
        <w:rPr/>
      </w:pPr>
      <w:r>
        <w:rPr/>
        <w:t>Narrative volume can be affected by unrelated major news. Domain attribution and source composition should be reviewed before making causal claims.</w:t>
      </w:r>
    </w:p>
    <w:p>
      <w:pPr>
        <w:pStyle w:val="BodyText"/>
        <w:numPr>
          <w:ilvl w:val="0"/>
          <w:numId w:val="2"/>
        </w:numPr>
        <w:tabs>
          <w:tab w:val="clear" w:pos="1134"/>
          <w:tab w:val="left" w:pos="829" w:leader="none"/>
        </w:tabs>
        <w:bidi w:val="0"/>
        <w:spacing w:before="120" w:after="0"/>
        <w:ind w:hanging="283" w:start="829"/>
        <w:jc w:val="start"/>
        <w:rPr/>
      </w:pPr>
      <w:r>
        <w:rPr/>
        <w:t>A non-confirming stream is a result, not a defect. It can help classify the crisis pathway and prevent an over-scaled response.</w:t>
      </w:r>
    </w:p>
    <w:p>
      <w:pPr>
        <w:pStyle w:val="BodyText"/>
        <w:numPr>
          <w:ilvl w:val="0"/>
          <w:numId w:val="2"/>
        </w:numPr>
        <w:tabs>
          <w:tab w:val="clear" w:pos="1134"/>
          <w:tab w:val="left" w:pos="829" w:leader="none"/>
        </w:tabs>
        <w:bidi w:val="0"/>
        <w:spacing w:before="120" w:after="0"/>
        <w:ind w:hanging="283" w:start="829"/>
        <w:jc w:val="start"/>
        <w:rPr/>
      </w:pPr>
      <w:r>
        <w:rPr/>
        <w:t>The public release should show output-level values and documented limitations without disclosing raw queries, source-selection logic, model features, weights, or proprietary scoring methods.</w:t>
      </w:r>
    </w:p>
    <w:p>
      <w:pPr>
        <w:pStyle w:val="BodyText"/>
        <w:numPr>
          <w:ilvl w:val="0"/>
          <w:numId w:val="2"/>
        </w:numPr>
        <w:tabs>
          <w:tab w:val="clear" w:pos="1134"/>
          <w:tab w:val="left" w:pos="829" w:leader="none"/>
        </w:tabs>
        <w:bidi w:val="0"/>
        <w:ind w:hanging="283" w:start="829"/>
        <w:jc w:val="start"/>
        <w:rPr/>
      </w:pPr>
      <w:r>
        <w:rPr/>
        <w:t>Casualty and operational figures can change after initial reporting. Use dated attribution and avoid mixing figures from different reporting cutoffs.</w:t>
      </w:r>
    </w:p>
    <w:p>
      <w:pPr>
        <w:pStyle w:val="Heading2"/>
        <w:bidi w:val="0"/>
        <w:jc w:val="start"/>
        <w:rPr/>
      </w:pPr>
      <w:r>
        <w:rPr/>
        <w:t>Draft Conclusion</w:t>
      </w:r>
    </w:p>
    <w:p>
      <w:pPr>
        <w:pStyle w:val="BodyText"/>
        <w:bidi w:val="0"/>
        <w:jc w:val="start"/>
        <w:rPr/>
      </w:pPr>
      <w:r>
        <w:rPr/>
        <w:t>This case provides a structured test of whether Talosai improved decision timing and systemic understanding. The final conclusion should state exactly when the first supported signal appeared, which streams led or lagged, whether independent domains converged, and what operational posture the evidence justified. If advance warning is not supported, the conclusion should say so directly and explain the value Talosai provided through rapid confirmation, source-reliability interpretation, or sustained crisis monitoring.</w:t>
      </w:r>
    </w:p>
    <w:p>
      <w:pPr>
        <w:pStyle w:val="BodyText"/>
        <w:bidi w:val="0"/>
        <w:jc w:val="start"/>
        <w:rPr/>
      </w:pPr>
      <w:r>
        <w:rPr/>
        <w:t>[TALOSAI DATA REQUIRED: Insert a case-specific, evidence-based conclusion after completing the quantitative tables and figures.]</w:t>
      </w:r>
    </w:p>
    <w:p>
      <w:pPr>
        <w:pStyle w:val="Heading2"/>
        <w:bidi w:val="0"/>
        <w:jc w:val="start"/>
        <w:rPr/>
      </w:pPr>
      <w:r>
        <w:rPr/>
        <w:t>Case-Study Takeaway</w:t>
      </w:r>
    </w:p>
    <w:p>
      <w:pPr>
        <w:pStyle w:val="BodyText"/>
        <w:bidi w:val="0"/>
        <w:jc w:val="start"/>
        <w:rPr/>
      </w:pPr>
      <w:r>
        <w:rPr/>
        <w:t>[FINAL TAKEAWAY TO COMPLETE AFTER DATA INTEGRATION] Talosai’s value should be expressed as a calibrated finding about earlier decision timing, faster systemic confirmation, signal-reliability interpretation, or sustained posture management—whichever the archived outputs actually support.</w:t>
      </w:r>
    </w:p>
    <w:p>
      <w:pPr>
        <w:pStyle w:val="Heading2"/>
        <w:bidi w:val="0"/>
        <w:jc w:val="start"/>
        <w:rPr/>
      </w:pPr>
      <w:r>
        <w:rPr/>
        <w:t>Reference Sources Used for Event Anchors</w:t>
      </w:r>
    </w:p>
    <w:tbl>
      <w:tblPr>
        <w:tblW w:w="19983" w:type="dxa"/>
        <w:jc w:val="start"/>
        <w:tblInd w:w="0" w:type="dxa"/>
        <w:tblLayout w:type="fixed"/>
        <w:tblCellMar>
          <w:top w:w="28" w:type="dxa"/>
          <w:start w:w="28" w:type="dxa"/>
          <w:bottom w:w="28" w:type="dxa"/>
          <w:end w:w="28" w:type="dxa"/>
        </w:tblCellMar>
      </w:tblPr>
      <w:tblGrid>
        <w:gridCol w:w="631"/>
        <w:gridCol w:w="1591"/>
        <w:gridCol w:w="17761"/>
      </w:tblGrid>
      <w:tr>
        <w:trPr>
          <w:tblHeader w:val="true"/>
        </w:trPr>
        <w:tc>
          <w:tcPr>
            <w:tcW w:w="631" w:type="dxa"/>
            <w:tcBorders/>
            <w:vAlign w:val="center"/>
          </w:tcPr>
          <w:p>
            <w:pPr>
              <w:pStyle w:val="TableHeading"/>
              <w:suppressLineNumbers/>
              <w:shd w:fill="133B4A" w:val="clear"/>
              <w:bidi w:val="0"/>
              <w:spacing w:before="120" w:after="120"/>
              <w:jc w:val="start"/>
              <w:rPr/>
            </w:pPr>
            <w:r>
              <w:rPr/>
              <w:t>Ref.</w:t>
            </w:r>
          </w:p>
        </w:tc>
        <w:tc>
          <w:tcPr>
            <w:tcW w:w="1591" w:type="dxa"/>
            <w:tcBorders/>
            <w:vAlign w:val="center"/>
          </w:tcPr>
          <w:p>
            <w:pPr>
              <w:pStyle w:val="TableHeading"/>
              <w:suppressLineNumbers/>
              <w:shd w:fill="133B4A" w:val="clear"/>
              <w:bidi w:val="0"/>
              <w:spacing w:before="120" w:after="120"/>
              <w:jc w:val="start"/>
              <w:rPr/>
            </w:pPr>
            <w:r>
              <w:rPr/>
              <w:t>Source</w:t>
            </w:r>
          </w:p>
        </w:tc>
        <w:tc>
          <w:tcPr>
            <w:tcW w:w="17761" w:type="dxa"/>
            <w:tcBorders/>
            <w:vAlign w:val="center"/>
          </w:tcPr>
          <w:p>
            <w:pPr>
              <w:pStyle w:val="TableHeading"/>
              <w:suppressLineNumbers/>
              <w:shd w:fill="133B4A" w:val="clear"/>
              <w:bidi w:val="0"/>
              <w:spacing w:before="120" w:after="120"/>
              <w:jc w:val="start"/>
              <w:rPr/>
            </w:pPr>
            <w:r>
              <w:rPr/>
              <w:t>Link</w:t>
            </w:r>
          </w:p>
        </w:tc>
      </w:tr>
      <w:tr>
        <w:trPr/>
        <w:tc>
          <w:tcPr>
            <w:tcW w:w="631" w:type="dxa"/>
            <w:tcBorders/>
            <w:vAlign w:val="center"/>
          </w:tcPr>
          <w:p>
            <w:pPr>
              <w:pStyle w:val="TableContents"/>
              <w:bidi w:val="0"/>
              <w:spacing w:before="120" w:after="120"/>
              <w:jc w:val="start"/>
              <w:rPr/>
            </w:pPr>
            <w:r>
              <w:rPr/>
              <w:t>R1</w:t>
            </w:r>
          </w:p>
        </w:tc>
        <w:tc>
          <w:tcPr>
            <w:tcW w:w="1591" w:type="dxa"/>
            <w:tcBorders/>
            <w:vAlign w:val="center"/>
          </w:tcPr>
          <w:p>
            <w:pPr>
              <w:pStyle w:val="TableContents"/>
              <w:bidi w:val="0"/>
              <w:spacing w:before="120" w:after="120"/>
              <w:jc w:val="start"/>
              <w:rPr/>
            </w:pPr>
            <w:r>
              <w:rPr/>
              <w:t>United Nations OCHA, “Escalation in the Gaza Strip and Israel: Flash Update #1,” 7 October 2023.</w:t>
            </w:r>
          </w:p>
        </w:tc>
        <w:tc>
          <w:tcPr>
            <w:tcW w:w="17761" w:type="dxa"/>
            <w:tcBorders/>
            <w:vAlign w:val="center"/>
          </w:tcPr>
          <w:p>
            <w:pPr>
              <w:pStyle w:val="TableContents"/>
              <w:bidi w:val="0"/>
              <w:spacing w:before="120" w:after="120"/>
              <w:jc w:val="start"/>
              <w:rPr/>
            </w:pPr>
            <w:r>
              <w:rPr/>
              <w:t>https://www.ochaopt.org/content/escalation-gaza-strip-and-israel-flash-update-1</w:t>
            </w:r>
          </w:p>
        </w:tc>
      </w:tr>
      <w:tr>
        <w:trPr/>
        <w:tc>
          <w:tcPr>
            <w:tcW w:w="631" w:type="dxa"/>
            <w:tcBorders/>
            <w:vAlign w:val="center"/>
          </w:tcPr>
          <w:p>
            <w:pPr>
              <w:pStyle w:val="TableContents"/>
              <w:bidi w:val="0"/>
              <w:spacing w:before="120" w:after="120"/>
              <w:jc w:val="start"/>
              <w:rPr/>
            </w:pPr>
            <w:r>
              <w:rPr/>
              <w:t>R2</w:t>
            </w:r>
          </w:p>
        </w:tc>
        <w:tc>
          <w:tcPr>
            <w:tcW w:w="1591" w:type="dxa"/>
            <w:tcBorders/>
            <w:vAlign w:val="center"/>
          </w:tcPr>
          <w:p>
            <w:pPr>
              <w:pStyle w:val="TableContents"/>
              <w:bidi w:val="0"/>
              <w:spacing w:before="120" w:after="120"/>
              <w:jc w:val="start"/>
              <w:rPr/>
            </w:pPr>
            <w:r>
              <w:rPr/>
              <w:t>United Nations Humanitarian Coordinator for the Occupied Palestinian Territory, statement on hostilities, 10 October 2023.</w:t>
            </w:r>
          </w:p>
        </w:tc>
        <w:tc>
          <w:tcPr>
            <w:tcW w:w="17761" w:type="dxa"/>
            <w:tcBorders/>
            <w:vAlign w:val="center"/>
          </w:tcPr>
          <w:p>
            <w:pPr>
              <w:pStyle w:val="TableContents"/>
              <w:bidi w:val="0"/>
              <w:spacing w:before="120" w:after="120"/>
              <w:jc w:val="start"/>
              <w:rPr/>
            </w:pPr>
            <w:r>
              <w:rPr/>
              <w:t>https://www.un.org/unispal/document/statement-by-the-humanitarian-coordinator-for-the-occupied-palestinian-territory-lynn-hastings-on-the-hostilities-between-palestinian-armed-groups-in-the-gaza-strip-and-israel/</w:t>
            </w:r>
          </w:p>
        </w:tc>
      </w:tr>
      <w:tr>
        <w:trPr/>
        <w:tc>
          <w:tcPr>
            <w:tcW w:w="631" w:type="dxa"/>
            <w:tcBorders/>
            <w:vAlign w:val="center"/>
          </w:tcPr>
          <w:p>
            <w:pPr>
              <w:pStyle w:val="TableContents"/>
              <w:bidi w:val="0"/>
              <w:spacing w:before="120" w:after="120"/>
              <w:jc w:val="start"/>
              <w:rPr/>
            </w:pPr>
            <w:r>
              <w:rPr/>
              <w:t>R3</w:t>
            </w:r>
          </w:p>
        </w:tc>
        <w:tc>
          <w:tcPr>
            <w:tcW w:w="1591" w:type="dxa"/>
            <w:tcBorders/>
            <w:vAlign w:val="center"/>
          </w:tcPr>
          <w:p>
            <w:pPr>
              <w:pStyle w:val="TableContents"/>
              <w:bidi w:val="0"/>
              <w:spacing w:before="120" w:after="120"/>
              <w:jc w:val="start"/>
              <w:rPr/>
            </w:pPr>
            <w:r>
              <w:rPr/>
              <w:t>UNRWA, “Situation Report #1 on the Situation in the Gaza Strip,” 7 October 2023.</w:t>
            </w:r>
          </w:p>
        </w:tc>
        <w:tc>
          <w:tcPr>
            <w:tcW w:w="17761" w:type="dxa"/>
            <w:tcBorders/>
            <w:vAlign w:val="center"/>
          </w:tcPr>
          <w:p>
            <w:pPr>
              <w:pStyle w:val="TableContents"/>
              <w:bidi w:val="0"/>
              <w:spacing w:before="120" w:after="120"/>
              <w:jc w:val="start"/>
              <w:rPr/>
            </w:pPr>
            <w:r>
              <w:rPr/>
              <w:t>https://www.un.org/unispal/document/unrwa-situation-report-1-on-the-situation-in-the-gaza-strip/</w:t>
            </w:r>
          </w:p>
        </w:tc>
      </w:tr>
      <w:tr>
        <w:trPr/>
        <w:tc>
          <w:tcPr>
            <w:tcW w:w="631" w:type="dxa"/>
            <w:tcBorders/>
            <w:vAlign w:val="center"/>
          </w:tcPr>
          <w:p>
            <w:pPr>
              <w:pStyle w:val="TableContents"/>
              <w:bidi w:val="0"/>
              <w:spacing w:before="120" w:after="120"/>
              <w:jc w:val="start"/>
              <w:rPr/>
            </w:pPr>
            <w:r>
              <w:rPr/>
              <w:t>R4</w:t>
            </w:r>
          </w:p>
        </w:tc>
        <w:tc>
          <w:tcPr>
            <w:tcW w:w="1591" w:type="dxa"/>
            <w:tcBorders/>
            <w:vAlign w:val="center"/>
          </w:tcPr>
          <w:p>
            <w:pPr>
              <w:pStyle w:val="TableContents"/>
              <w:bidi w:val="0"/>
              <w:spacing w:before="120" w:after="120"/>
              <w:jc w:val="start"/>
              <w:rPr/>
            </w:pPr>
            <w:r>
              <w:rPr/>
              <w:t>United Nations General Assembly, emergency special session materials, October 2023.</w:t>
            </w:r>
          </w:p>
        </w:tc>
        <w:tc>
          <w:tcPr>
            <w:tcW w:w="17761" w:type="dxa"/>
            <w:tcBorders/>
            <w:vAlign w:val="center"/>
          </w:tcPr>
          <w:p>
            <w:pPr>
              <w:pStyle w:val="TableContents"/>
              <w:bidi w:val="0"/>
              <w:spacing w:before="120" w:after="120"/>
              <w:jc w:val="start"/>
              <w:rPr/>
            </w:pPr>
            <w:r>
              <w:rPr/>
              <w:t>https://www.un.org/en/ga/sessions/emergency10th.shtml</w:t>
            </w:r>
          </w:p>
        </w:tc>
      </w:tr>
      <w:tr>
        <w:trPr/>
        <w:tc>
          <w:tcPr>
            <w:tcW w:w="631" w:type="dxa"/>
            <w:tcBorders/>
            <w:vAlign w:val="center"/>
          </w:tcPr>
          <w:p>
            <w:pPr>
              <w:pStyle w:val="TableContents"/>
              <w:bidi w:val="0"/>
              <w:spacing w:before="120" w:after="120"/>
              <w:jc w:val="start"/>
              <w:rPr/>
            </w:pPr>
            <w:r>
              <w:rPr/>
              <w:t>R5</w:t>
            </w:r>
          </w:p>
        </w:tc>
        <w:tc>
          <w:tcPr>
            <w:tcW w:w="1591" w:type="dxa"/>
            <w:tcBorders/>
            <w:vAlign w:val="center"/>
          </w:tcPr>
          <w:p>
            <w:pPr>
              <w:pStyle w:val="TableContents"/>
              <w:bidi w:val="0"/>
              <w:spacing w:before="120" w:after="120"/>
              <w:jc w:val="start"/>
              <w:rPr/>
            </w:pPr>
            <w:r>
              <w:rPr/>
              <w:t>United Nations Independent International Commission of Inquiry, report on attacks carried out on and after 7 October 2023.</w:t>
            </w:r>
          </w:p>
        </w:tc>
        <w:tc>
          <w:tcPr>
            <w:tcW w:w="17761" w:type="dxa"/>
            <w:tcBorders/>
            <w:vAlign w:val="center"/>
          </w:tcPr>
          <w:p>
            <w:pPr>
              <w:pStyle w:val="TableContents"/>
              <w:bidi w:val="0"/>
              <w:spacing w:before="120" w:after="120"/>
              <w:jc w:val="start"/>
              <w:rPr/>
            </w:pPr>
            <w:r>
              <w:rPr/>
              <w:t>https://www.un.org/unispal/document/coi-report-a-hrc-56-26-27may24/</w:t>
            </w:r>
          </w:p>
        </w:tc>
      </w:tr>
    </w:tbl>
    <w:p>
      <w:pPr>
        <w:pStyle w:val="BodyTextend"/>
        <w:bidi w:val="0"/>
        <w:spacing w:before="600" w:after="120"/>
        <w:rPr/>
      </w:pPr>
      <w:r>
        <w:rPr/>
        <w:t>End of draft manuscript</w:t>
      </w:r>
    </w:p>
    <w:sectPr>
      <w:type w:val="nextPage"/>
      <w:pgSz w:w="11906" w:h="16838"/>
      <w:pgMar w:left="1037" w:right="1037" w:gutter="0" w:header="0" w:top="1037" w:footer="0" w:bottom="1037"/>
      <w:pgNumType w:fmt="decimal"/>
      <w:formProt w:val="false"/>
      <w:textDirection w:val="lrTb"/>
      <w:docGrid w:type="default" w:linePitch="600" w:charSpace="38911"/>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Aptos">
    <w:altName w:val="Calibri"/>
    <w:charset w:val="01" w:characterSet="utf-8"/>
    <w:family w:val="auto"/>
    <w:pitch w:val="default"/>
  </w:font>
  <w:font w:name="Noto Sans">
    <w:charset w:val="01" w:characterSet="utf-8"/>
    <w:family w:val="auto"/>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none"/>
      <w:suff w:val="nothing"/>
      <w:lvlText w:val="%1"/>
      <w:lvlJc w:val="start"/>
      <w:pPr>
        <w:tabs>
          <w:tab w:val="num" w:pos="0"/>
        </w:tabs>
        <w:ind w:start="0" w:hanging="0"/>
      </w:pPr>
    </w:lvl>
    <w:lvl w:ilvl="1">
      <w:start w:val="1"/>
      <w:pStyle w:val="Heading2"/>
      <w:numFmt w:val="none"/>
      <w:suff w:val="nothing"/>
      <w:lvlText w:val="%2"/>
      <w:lvlJc w:val="start"/>
      <w:pPr>
        <w:tabs>
          <w:tab w:val="num" w:pos="0"/>
        </w:tabs>
        <w:ind w:start="0" w:hanging="0"/>
      </w:pPr>
    </w:lvl>
    <w:lvl w:ilvl="2">
      <w:start w:val="1"/>
      <w:numFmt w:val="none"/>
      <w:suff w:val="nothing"/>
      <w:lvlText w:val="%3"/>
      <w:lvlJc w:val="start"/>
      <w:pPr>
        <w:tabs>
          <w:tab w:val="num" w:pos="0"/>
        </w:tabs>
        <w:ind w:start="0" w:hanging="0"/>
      </w:pPr>
    </w:lvl>
    <w:lvl w:ilvl="3">
      <w:start w:val="1"/>
      <w:numFmt w:val="none"/>
      <w:suff w:val="nothing"/>
      <w:lvlText w:val="%4"/>
      <w:lvlJc w:val="start"/>
      <w:pPr>
        <w:tabs>
          <w:tab w:val="num" w:pos="0"/>
        </w:tabs>
        <w:ind w:start="0" w:hanging="0"/>
      </w:pPr>
    </w:lvl>
    <w:lvl w:ilvl="4">
      <w:start w:val="1"/>
      <w:numFmt w:val="none"/>
      <w:suff w:val="nothing"/>
      <w:lvlText w:val="%5"/>
      <w:lvlJc w:val="start"/>
      <w:pPr>
        <w:tabs>
          <w:tab w:val="num" w:pos="0"/>
        </w:tabs>
        <w:ind w:start="0" w:hanging="0"/>
      </w:pPr>
    </w:lvl>
    <w:lvl w:ilvl="5">
      <w:start w:val="1"/>
      <w:numFmt w:val="none"/>
      <w:suff w:val="nothing"/>
      <w:lvlText w:val="%6"/>
      <w:lvlJc w:val="start"/>
      <w:pPr>
        <w:tabs>
          <w:tab w:val="num" w:pos="0"/>
        </w:tabs>
        <w:ind w:start="0" w:hanging="0"/>
      </w:pPr>
    </w:lvl>
    <w:lvl w:ilvl="6">
      <w:start w:val="1"/>
      <w:numFmt w:val="none"/>
      <w:suff w:val="nothing"/>
      <w:lvlText w:val="%7"/>
      <w:lvlJc w:val="start"/>
      <w:pPr>
        <w:tabs>
          <w:tab w:val="num" w:pos="0"/>
        </w:tabs>
        <w:ind w:start="0" w:hanging="0"/>
      </w:pPr>
    </w:lvl>
    <w:lvl w:ilvl="7">
      <w:start w:val="1"/>
      <w:numFmt w:val="none"/>
      <w:suff w:val="nothing"/>
      <w:lvlText w:val="%8"/>
      <w:lvlJc w:val="start"/>
      <w:pPr>
        <w:tabs>
          <w:tab w:val="num" w:pos="0"/>
        </w:tabs>
        <w:ind w:start="0" w:hanging="0"/>
      </w:pPr>
    </w:lvl>
    <w:lvl w:ilvl="8">
      <w:start w:val="1"/>
      <w:numFmt w:val="none"/>
      <w:suff w:val="nothing"/>
      <w:lvlText w:val="%9"/>
      <w:lvlJc w:val="start"/>
      <w:pPr>
        <w:tabs>
          <w:tab w:val="num" w:pos="0"/>
        </w:tabs>
        <w:ind w:star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324"/>
    </w:pPr>
    <w:rPr>
      <w:rFonts w:ascii="Aptos;Calibri;Arial;sans-serif" w:hAnsi="Aptos;Calibri;Arial;sans-serif" w:eastAsia="Aptos;Calibri;Arial;sans-serif" w:cs="Aptos;Calibri;Arial;sans-serif"/>
      <w:color w:val="1D2A32"/>
      <w:sz w:val="21"/>
      <w:szCs w:val="21"/>
      <w:lang w:val="en-US" w:eastAsia="zh-CN" w:bidi="hi-IN"/>
    </w:rPr>
  </w:style>
  <w:style w:type="paragraph" w:styleId="Heading1">
    <w:name w:val="Heading 1"/>
    <w:basedOn w:val="Heading"/>
    <w:next w:val="BodyText"/>
    <w:qFormat/>
    <w:pPr>
      <w:pBdr>
        <w:bottom w:val="single" w:sz="18" w:space="12" w:color="C49A5A"/>
      </w:pBdr>
      <w:spacing w:before="240" w:after="240"/>
    </w:pPr>
    <w:rPr>
      <w:rFonts w:ascii="Noto Sans" w:hAnsi="Noto Sans"/>
      <w:b/>
      <w:bCs/>
      <w:color w:val="133B4A"/>
      <w:sz w:val="50"/>
      <w:szCs w:val="50"/>
    </w:rPr>
  </w:style>
  <w:style w:type="paragraph" w:styleId="Heading2">
    <w:name w:val="Heading 2"/>
    <w:basedOn w:val="Heading"/>
    <w:next w:val="BodyText"/>
    <w:qFormat/>
    <w:pPr>
      <w:keepNext w:val="true"/>
      <w:pBdr>
        <w:bottom w:val="single" w:sz="2" w:space="4" w:color="C9D4D8"/>
      </w:pBdr>
      <w:spacing w:before="440" w:after="120"/>
      <w:outlineLvl w:val="1"/>
    </w:pPr>
    <w:rPr>
      <w:rFonts w:ascii="Liberation Serif" w:hAnsi="Liberation Serif" w:eastAsia="Noto Serif CJK SC" w:cs="Noto Sans Devanagari"/>
      <w:b/>
      <w:bCs/>
      <w:color w:val="133B4A"/>
      <w:sz w:val="32"/>
      <w:szCs w:val="32"/>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1B5F78"/>
      <w:u w:val="single"/>
    </w:rPr>
  </w:style>
  <w:style w:type="character" w:styleId="Bullets">
    <w:name w:val="Bullets"/>
    <w:qFormat/>
    <w:rPr>
      <w:rFonts w:ascii="OpenSymbol" w:hAnsi="OpenSymbol" w:eastAsia="OpenSymbol" w:cs="OpenSymbol"/>
    </w:rPr>
  </w:style>
  <w:style w:type="character" w:styleId="FollowedHyperlink">
    <w:name w:val="FollowedHyperlink"/>
    <w:rPr>
      <w:color w:val="1B5F78"/>
      <w:u w:val="single"/>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120" w:after="120"/>
      <w:ind w:start="120" w:end="120"/>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brand">
    <w:name w:val="Body Text.brand"/>
    <w:basedOn w:val="BodyText"/>
    <w:qFormat/>
    <w:pPr>
      <w:spacing w:before="120" w:after="200"/>
    </w:pPr>
    <w:rPr>
      <w:b/>
      <w:bCs/>
      <w:color w:val="C49A5A"/>
      <w:spacing w:val="60"/>
      <w:sz w:val="26"/>
      <w:szCs w:val="26"/>
    </w:rPr>
  </w:style>
  <w:style w:type="paragraph" w:styleId="BodyTextbyline">
    <w:name w:val="Body Text.byline"/>
    <w:basedOn w:val="BodyText"/>
    <w:qFormat/>
    <w:pPr/>
    <w:rPr>
      <w:b/>
      <w:bCs/>
      <w:sz w:val="24"/>
      <w:szCs w:val="24"/>
    </w:rPr>
  </w:style>
  <w:style w:type="paragraph" w:styleId="BodyTextdraft">
    <w:name w:val="Body Text.draft"/>
    <w:basedOn w:val="BodyText"/>
    <w:qFormat/>
    <w:pPr/>
    <w:rPr>
      <w:b/>
      <w:bCs/>
      <w:color w:val="9B3D2F"/>
    </w:rPr>
  </w:style>
  <w:style w:type="paragraph" w:styleId="BodyTextwindow">
    <w:name w:val="Body Text.window"/>
    <w:basedOn w:val="BodyText"/>
    <w:qFormat/>
    <w:pPr>
      <w:spacing w:before="120" w:after="120"/>
    </w:pPr>
    <w:rPr>
      <w:i/>
      <w:iCs/>
      <w:color w:val="53656D"/>
    </w:rPr>
  </w:style>
  <w:style w:type="paragraph" w:styleId="BodyTextrunningtitle">
    <w:name w:val="Body Text.runningtitle"/>
    <w:basedOn w:val="BodyText"/>
    <w:qFormat/>
    <w:pPr>
      <w:pBdr>
        <w:bottom w:val="single" w:sz="2" w:space="4" w:color="C49A5A"/>
      </w:pBdr>
      <w:spacing w:before="120" w:after="320"/>
    </w:pPr>
    <w:rPr>
      <w:b/>
      <w:bCs/>
      <w:color w:val="64767D"/>
      <w:spacing w:val="20"/>
      <w:sz w:val="17"/>
      <w:szCs w:val="17"/>
    </w:rPr>
  </w:style>
  <w:style w:type="paragraph" w:styleId="BodyTextnotice">
    <w:name w:val="Body Text.notice"/>
    <w:basedOn w:val="BodyText"/>
    <w:qFormat/>
    <w:pPr>
      <w:pBdr>
        <w:top w:val="single" w:sz="2" w:space="10" w:color="D9AD55"/>
        <w:left w:val="single" w:sz="2" w:space="10" w:color="D9AD55"/>
        <w:bottom w:val="single" w:sz="2" w:space="10" w:color="D9AD55"/>
        <w:right w:val="single" w:sz="2" w:space="10" w:color="D9AD55"/>
      </w:pBdr>
      <w:shd w:fill="FFF5D9" w:val="clear"/>
      <w:spacing w:before="240" w:after="400"/>
      <w:ind w:start="240" w:end="240"/>
    </w:pPr>
    <w:rPr/>
  </w:style>
  <w:style w:type="paragraph" w:styleId="TableHeading">
    <w:name w:val="Table Heading"/>
    <w:basedOn w:val="TableContents"/>
    <w:qFormat/>
    <w:pPr>
      <w:suppressLineNumbers/>
      <w:shd w:fill="133B4A" w:val="clear"/>
      <w:jc w:val="start"/>
    </w:pPr>
    <w:rPr>
      <w:b/>
      <w:bCs/>
      <w:color w:val="FFFFFF"/>
    </w:rPr>
  </w:style>
  <w:style w:type="paragraph" w:styleId="BodyTextemphasis">
    <w:name w:val="Body Text.emphasis"/>
    <w:basedOn w:val="BodyText"/>
    <w:qFormat/>
    <w:pPr>
      <w:pBdr>
        <w:left w:val="single" w:sz="24" w:space="8" w:color="2E6F80"/>
      </w:pBdr>
      <w:shd w:fill="EAF2F4" w:val="clear"/>
    </w:pPr>
    <w:rPr/>
  </w:style>
  <w:style w:type="paragraph" w:styleId="BodyTextend">
    <w:name w:val="Body Text.end"/>
    <w:basedOn w:val="BodyText"/>
    <w:qFormat/>
    <w:pPr>
      <w:spacing w:before="600" w:after="120"/>
      <w:jc w:val="center"/>
    </w:pPr>
    <w:rPr>
      <w:i/>
      <w:iCs/>
      <w:color w:val="666677"/>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cover.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Talosai Case Study: Israel–Hamas War Escalation in October 2023</dc:title>
</cp:coreProperties>
</file>

<file path=docProps/custom.xml><?xml version="1.0" encoding="utf-8"?>
<Properties xmlns="http://schemas.openxmlformats.org/officeDocument/2006/custom-properties" xmlns:vt="http://schemas.openxmlformats.org/officeDocument/2006/docPropsVTypes"/>
</file>