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brand"/>
        <w:bidi w:val="0"/>
        <w:spacing w:before="120" w:after="200"/>
        <w:jc w:val="start"/>
        <w:rPr/>
      </w:pPr>
      <w:r>
        <w:rPr/>
        <w:t>TALOSAI</w:t>
      </w:r>
    </w:p>
    <w:p>
      <w:pPr>
        <w:pStyle w:val="Heading1"/>
        <w:bidi w:val="0"/>
        <w:jc w:val="start"/>
        <w:rPr/>
      </w:pPr>
      <w:r>
        <w:rPr/>
        <w:t>Talosai Case Study: Silicon Valley Bank and the March 2023 Collapse</w:t>
      </w:r>
    </w:p>
    <w:p>
      <w:pPr>
        <w:pStyle w:val="BodyText"/>
        <w:bidi w:val="0"/>
        <w:jc w:val="start"/>
        <w:rPr/>
      </w:pPr>
      <w:r>
        <w:rPr/>
        <w:drawing>
          <wp:inline distT="0" distB="0" distL="0" distR="0">
            <wp:extent cx="6035040" cy="3108960"/>
            <wp:effectExtent l="0" t="0" r="0" b="0"/>
            <wp:docPr id="1" name="Image1" descr="" title="Cover image place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Cover image placeholder"/>
                    <pic:cNvPicPr>
                      <a:picLocks noChangeAspect="1" noChangeArrowheads="1"/>
                    </pic:cNvPicPr>
                  </pic:nvPicPr>
                  <pic:blipFill>
                    <a:blip r:embed="rId2"/>
                    <a:srcRect l="-63" t="-112" r="-63" b="-112"/>
                    <a:stretch>
                      <a:fillRect/>
                    </a:stretch>
                  </pic:blipFill>
                  <pic:spPr bwMode="auto">
                    <a:xfrm>
                      <a:off x="0" y="0"/>
                      <a:ext cx="6035040" cy="3108960"/>
                    </a:xfrm>
                    <a:prstGeom prst="rect">
                      <a:avLst/>
                    </a:prstGeom>
                    <a:ln>
                      <a:solidFill>
                        <a:srgbClr val="91A3AA"/>
                      </a:solidFill>
                    </a:ln>
                  </pic:spPr>
                </pic:pic>
              </a:graphicData>
            </a:graphic>
          </wp:inline>
        </w:drawing>
      </w:r>
      <w:r>
        <w:rPr/>
        <w:t xml:space="preserve"> </w:t>
      </w:r>
    </w:p>
    <w:p>
      <w:pPr>
        <w:pStyle w:val="BodyTextbyline"/>
        <w:bidi w:val="0"/>
        <w:jc w:val="start"/>
        <w:rPr/>
      </w:pPr>
      <w:r>
        <w:rPr/>
        <w:t>Prepared by Mr. Terry M. Rauch II, MBA, LLM</w:t>
      </w:r>
    </w:p>
    <w:p>
      <w:pPr>
        <w:pStyle w:val="BodyTextdraft"/>
        <w:bidi w:val="0"/>
        <w:jc w:val="start"/>
        <w:rPr/>
      </w:pPr>
      <w:r>
        <w:rPr/>
        <w:t>Public Release Version — Design Final · Historical Talosai Data Integration Pending</w:t>
      </w:r>
    </w:p>
    <w:p>
      <w:pPr>
        <w:pStyle w:val="BodyTextwindow"/>
        <w:bidi w:val="0"/>
        <w:jc w:val="start"/>
        <w:rPr/>
      </w:pPr>
      <w:r>
        <w:rPr/>
        <w:t>Suggested analytical window: December 2022–March 2023</w:t>
      </w:r>
      <w:r>
        <w:br w:type="page"/>
      </w:r>
    </w:p>
    <w:p>
      <w:pPr>
        <w:pStyle w:val="BodyTextrunningtitle"/>
        <w:bidi w:val="0"/>
        <w:jc w:val="start"/>
        <w:rPr/>
      </w:pPr>
      <w:r>
        <w:rPr/>
        <w:t>TALOSAI CASE STUDY · PUBLIC RELEASE MANUSCRIPT</w:t>
      </w:r>
    </w:p>
    <w:p>
      <w:pPr>
        <w:pStyle w:val="BodyTextnotice"/>
        <w:bidi w:val="0"/>
        <w:jc w:val="start"/>
        <w:rPr/>
      </w:pPr>
      <w:r>
        <w:rPr>
          <w:b/>
        </w:rPr>
        <w:t>Editorial status:</w:t>
      </w:r>
      <w:r>
        <w:rPr/>
        <w:t xml:space="preserve"> This document provides researched narrative text, event anchors, analytical questions, decision guidance, and source references. It intentionally does not invent Talosai scores, lead times, correlations, forecast bands, or chart results. Bracketed fields must be completed from archived Talosai outputs before public release.</w:t>
      </w:r>
    </w:p>
    <w:p>
      <w:pPr>
        <w:pStyle w:val="Heading2"/>
        <w:bidi w:val="0"/>
        <w:jc w:val="start"/>
        <w:rPr/>
      </w:pPr>
      <w:r>
        <w:rPr/>
        <w:t>Bottom line</w:t>
      </w:r>
    </w:p>
    <w:p>
      <w:pPr>
        <w:pStyle w:val="BodyText"/>
        <w:bidi w:val="0"/>
        <w:jc w:val="start"/>
        <w:rPr/>
      </w:pPr>
      <w:r>
        <w:rPr/>
        <w:t>This manuscript tests whether Talosai could have translated a concentrated banking vulnerability into staged decision support before and during the failure of Silicon Valley Bank (SVB). The analytical emphasis is not an unsupported claim that the precise run or closure date was predictable. It is whether market, public-concern, governance/regulatory, liquidity, and narrative signals could have shown worsening confidence, rapid convergence, and the need for treasury, counterparty, payroll, and continuity action.</w:t>
      </w:r>
    </w:p>
    <w:tbl>
      <w:tblPr>
        <w:tblW w:w="7818" w:type="dxa"/>
        <w:jc w:val="start"/>
        <w:tblInd w:w="0" w:type="dxa"/>
        <w:tblLayout w:type="fixed"/>
        <w:tblCellMar>
          <w:top w:w="28" w:type="dxa"/>
          <w:start w:w="28" w:type="dxa"/>
          <w:bottom w:w="28" w:type="dxa"/>
          <w:end w:w="28" w:type="dxa"/>
        </w:tblCellMar>
      </w:tblPr>
      <w:tblGrid>
        <w:gridCol w:w="2685"/>
        <w:gridCol w:w="5133"/>
      </w:tblGrid>
      <w:tr>
        <w:trPr>
          <w:tblHeader w:val="true"/>
        </w:trPr>
        <w:tc>
          <w:tcPr>
            <w:tcW w:w="2685" w:type="dxa"/>
            <w:tcBorders/>
            <w:vAlign w:val="center"/>
          </w:tcPr>
          <w:p>
            <w:pPr>
              <w:pStyle w:val="TableHeading"/>
              <w:suppressLineNumbers/>
              <w:shd w:fill="133B4A" w:val="clear"/>
              <w:bidi w:val="0"/>
              <w:spacing w:before="120" w:after="120"/>
              <w:jc w:val="start"/>
              <w:rPr/>
            </w:pPr>
            <w:r>
              <w:rPr/>
              <w:t>Metric slot</w:t>
            </w:r>
          </w:p>
        </w:tc>
        <w:tc>
          <w:tcPr>
            <w:tcW w:w="5133" w:type="dxa"/>
            <w:tcBorders/>
            <w:vAlign w:val="center"/>
          </w:tcPr>
          <w:p>
            <w:pPr>
              <w:pStyle w:val="TableHeading"/>
              <w:suppressLineNumbers/>
              <w:shd w:fill="133B4A" w:val="clear"/>
              <w:bidi w:val="0"/>
              <w:spacing w:before="120" w:after="120"/>
              <w:jc w:val="start"/>
              <w:rPr/>
            </w:pPr>
            <w:r>
              <w:rPr/>
              <w:t>Required insertion</w:t>
            </w:r>
          </w:p>
        </w:tc>
      </w:tr>
      <w:tr>
        <w:trPr/>
        <w:tc>
          <w:tcPr>
            <w:tcW w:w="2685" w:type="dxa"/>
            <w:tcBorders/>
            <w:vAlign w:val="center"/>
          </w:tcPr>
          <w:p>
            <w:pPr>
              <w:pStyle w:val="TableContents"/>
              <w:bidi w:val="0"/>
              <w:spacing w:before="120" w:after="120"/>
              <w:jc w:val="start"/>
              <w:rPr/>
            </w:pPr>
            <w:r>
              <w:rPr/>
              <w:t>Earliest defensible warning</w:t>
            </w:r>
          </w:p>
        </w:tc>
        <w:tc>
          <w:tcPr>
            <w:tcW w:w="5133" w:type="dxa"/>
            <w:tcBorders/>
            <w:vAlign w:val="center"/>
          </w:tcPr>
          <w:p>
            <w:pPr>
              <w:pStyle w:val="TableContents"/>
              <w:bidi w:val="0"/>
              <w:spacing w:before="120" w:after="120"/>
              <w:jc w:val="start"/>
              <w:rPr/>
            </w:pPr>
            <w:r>
              <w:rPr/>
              <w:t>[TALOSAI DATA REQUIRED: date, signal state, and verified lead time]</w:t>
            </w:r>
          </w:p>
        </w:tc>
      </w:tr>
      <w:tr>
        <w:trPr/>
        <w:tc>
          <w:tcPr>
            <w:tcW w:w="2685" w:type="dxa"/>
            <w:tcBorders/>
            <w:vAlign w:val="center"/>
          </w:tcPr>
          <w:p>
            <w:pPr>
              <w:pStyle w:val="TableContents"/>
              <w:bidi w:val="0"/>
              <w:spacing w:before="120" w:after="120"/>
              <w:jc w:val="start"/>
              <w:rPr/>
            </w:pPr>
            <w:r>
              <w:rPr/>
              <w:t>Peak integrated risk</w:t>
            </w:r>
          </w:p>
        </w:tc>
        <w:tc>
          <w:tcPr>
            <w:tcW w:w="5133" w:type="dxa"/>
            <w:tcBorders/>
            <w:vAlign w:val="center"/>
          </w:tcPr>
          <w:p>
            <w:pPr>
              <w:pStyle w:val="TableContents"/>
              <w:bidi w:val="0"/>
              <w:spacing w:before="120" w:after="120"/>
              <w:jc w:val="start"/>
              <w:rPr/>
            </w:pPr>
            <w:r>
              <w:rPr/>
              <w:t>[TALOSAI DATA REQUIRED: value and date]</w:t>
            </w:r>
          </w:p>
        </w:tc>
      </w:tr>
      <w:tr>
        <w:trPr/>
        <w:tc>
          <w:tcPr>
            <w:tcW w:w="2685" w:type="dxa"/>
            <w:tcBorders/>
            <w:vAlign w:val="center"/>
          </w:tcPr>
          <w:p>
            <w:pPr>
              <w:pStyle w:val="TableContents"/>
              <w:bidi w:val="0"/>
              <w:spacing w:before="120" w:after="120"/>
              <w:jc w:val="start"/>
              <w:rPr/>
            </w:pPr>
            <w:r>
              <w:rPr/>
              <w:t>Strongest confirming stream</w:t>
            </w:r>
          </w:p>
        </w:tc>
        <w:tc>
          <w:tcPr>
            <w:tcW w:w="5133" w:type="dxa"/>
            <w:tcBorders/>
            <w:vAlign w:val="center"/>
          </w:tcPr>
          <w:p>
            <w:pPr>
              <w:pStyle w:val="TableContents"/>
              <w:bidi w:val="0"/>
              <w:spacing w:before="120" w:after="120"/>
              <w:jc w:val="start"/>
              <w:rPr/>
            </w:pPr>
            <w:r>
              <w:rPr/>
              <w:t>[TALOSAI DATA REQUIRED: stream, value, and date]</w:t>
            </w:r>
          </w:p>
        </w:tc>
      </w:tr>
      <w:tr>
        <w:trPr/>
        <w:tc>
          <w:tcPr>
            <w:tcW w:w="2685" w:type="dxa"/>
            <w:tcBorders/>
            <w:vAlign w:val="center"/>
          </w:tcPr>
          <w:p>
            <w:pPr>
              <w:pStyle w:val="TableContents"/>
              <w:bidi w:val="0"/>
              <w:spacing w:before="120" w:after="120"/>
              <w:jc w:val="start"/>
              <w:rPr/>
            </w:pPr>
            <w:r>
              <w:rPr/>
              <w:t>Strongest convergence finding</w:t>
            </w:r>
          </w:p>
        </w:tc>
        <w:tc>
          <w:tcPr>
            <w:tcW w:w="5133" w:type="dxa"/>
            <w:tcBorders/>
            <w:vAlign w:val="center"/>
          </w:tcPr>
          <w:p>
            <w:pPr>
              <w:pStyle w:val="TableContents"/>
              <w:bidi w:val="0"/>
              <w:spacing w:before="120" w:after="120"/>
              <w:jc w:val="start"/>
              <w:rPr/>
            </w:pPr>
            <w:r>
              <w:rPr/>
              <w:t>[TALOSAI DATA REQUIRED: domains/correlation and tested window]</w:t>
            </w:r>
          </w:p>
        </w:tc>
      </w:tr>
    </w:tbl>
    <w:p>
      <w:pPr>
        <w:pStyle w:val="Heading2"/>
        <w:bidi w:val="0"/>
        <w:jc w:val="start"/>
        <w:rPr/>
      </w:pPr>
      <w:r>
        <w:rPr/>
        <w:t>Executive Summary</w:t>
      </w:r>
    </w:p>
    <w:p>
      <w:pPr>
        <w:pStyle w:val="BodyText"/>
        <w:numPr>
          <w:ilvl w:val="0"/>
          <w:numId w:val="1"/>
        </w:numPr>
        <w:tabs>
          <w:tab w:val="clear" w:pos="1134"/>
          <w:tab w:val="left" w:pos="829" w:leader="none"/>
        </w:tabs>
        <w:bidi w:val="0"/>
        <w:spacing w:before="120" w:after="0"/>
        <w:ind w:hanging="283" w:start="829"/>
        <w:jc w:val="start"/>
        <w:rPr/>
      </w:pPr>
      <w:r>
        <w:rPr/>
        <w:t>SVB failed on 10 March 2023 after a rapid loss of confidence and extraordinary deposit outflows. The Federal Reserve’s review found that the bank’s board and management failed to manage its risks and that supervisors did not fully appreciate or act on the institution’s vulnerabilities.</w:t>
      </w:r>
    </w:p>
    <w:p>
      <w:pPr>
        <w:pStyle w:val="BodyText"/>
        <w:numPr>
          <w:ilvl w:val="0"/>
          <w:numId w:val="1"/>
        </w:numPr>
        <w:tabs>
          <w:tab w:val="clear" w:pos="1134"/>
          <w:tab w:val="left" w:pos="829" w:leader="none"/>
        </w:tabs>
        <w:bidi w:val="0"/>
        <w:spacing w:before="120" w:after="0"/>
        <w:ind w:hanging="283" w:start="829"/>
        <w:jc w:val="start"/>
        <w:rPr/>
      </w:pPr>
      <w:r>
        <w:rPr/>
        <w:t>SVB had grown rapidly, held a concentrated client base in technology and life sciences, and relied heavily on uninsured deposits. Rising interest rates reduced the value of long-duration securities while tighter financing conditions pressured many depositors.</w:t>
      </w:r>
    </w:p>
    <w:p>
      <w:pPr>
        <w:pStyle w:val="BodyText"/>
        <w:numPr>
          <w:ilvl w:val="0"/>
          <w:numId w:val="1"/>
        </w:numPr>
        <w:tabs>
          <w:tab w:val="clear" w:pos="1134"/>
          <w:tab w:val="left" w:pos="829" w:leader="none"/>
        </w:tabs>
        <w:bidi w:val="0"/>
        <w:spacing w:before="120" w:after="0"/>
        <w:ind w:hanging="283" w:start="829"/>
        <w:jc w:val="start"/>
        <w:rPr/>
      </w:pPr>
      <w:r>
        <w:rPr/>
        <w:t>On 8 March, SVB announced a balance-sheet restructuring that included a securities sale producing an approximately $1.8 billion after-tax loss and a planned capital raise. The announcement intensified concern rather than restoring confidence.</w:t>
      </w:r>
    </w:p>
    <w:p>
      <w:pPr>
        <w:pStyle w:val="BodyText"/>
        <w:numPr>
          <w:ilvl w:val="0"/>
          <w:numId w:val="1"/>
        </w:numPr>
        <w:tabs>
          <w:tab w:val="clear" w:pos="1134"/>
          <w:tab w:val="left" w:pos="829" w:leader="none"/>
        </w:tabs>
        <w:bidi w:val="0"/>
        <w:spacing w:before="120" w:after="0"/>
        <w:ind w:hanging="283" w:start="829"/>
        <w:jc w:val="start"/>
        <w:rPr/>
      </w:pPr>
      <w:r>
        <w:rPr/>
        <w:t>More than $40 billion in deposits left on 9 March, and the bank expected requests approaching $100 billion the following day. California regulators closed the bank on 10 March and appointed the FDIC as receiver.</w:t>
      </w:r>
    </w:p>
    <w:p>
      <w:pPr>
        <w:pStyle w:val="BodyText"/>
        <w:numPr>
          <w:ilvl w:val="0"/>
          <w:numId w:val="1"/>
        </w:numPr>
        <w:tabs>
          <w:tab w:val="clear" w:pos="1134"/>
          <w:tab w:val="left" w:pos="829" w:leader="none"/>
        </w:tabs>
        <w:bidi w:val="0"/>
        <w:ind w:hanging="283" w:start="829"/>
        <w:jc w:val="start"/>
        <w:rPr/>
      </w:pPr>
      <w:r>
        <w:rPr/>
        <w:t>The Talosai test should evaluate whether financial pressure, public search behavior, governance/regulatory attention, narrative acceleration, and cross-domain convergence moved early enough to support exposure reduction or contingency action.</w:t>
      </w:r>
    </w:p>
    <w:p>
      <w:pPr>
        <w:pStyle w:val="Heading2"/>
        <w:bidi w:val="0"/>
        <w:jc w:val="start"/>
        <w:rPr/>
      </w:pPr>
      <w:r>
        <w:rPr/>
        <w:t>Case Context and Validation Objective</w:t>
      </w:r>
    </w:p>
    <w:p>
      <w:pPr>
        <w:pStyle w:val="BodyText"/>
        <w:bidi w:val="0"/>
        <w:jc w:val="start"/>
        <w:rPr/>
      </w:pPr>
      <w:r>
        <w:rPr/>
        <w:t>SVB’s failure was a confidence and liquidity event rooted in structural vulnerabilities. Rapid growth, interest-rate risk, concentrated deposits, and a high uninsured-deposit share created sensitivity to coordinated withdrawals.</w:t>
      </w:r>
    </w:p>
    <w:p>
      <w:pPr>
        <w:pStyle w:val="BodyText"/>
        <w:bidi w:val="0"/>
        <w:jc w:val="start"/>
        <w:rPr/>
      </w:pPr>
      <w:r>
        <w:rPr/>
        <w:t>The bank’s clients were unusually networked. Once concerns spread through venture-capital and technology communities, electronic banking enabled a run at exceptional speed.</w:t>
      </w:r>
    </w:p>
    <w:p>
      <w:pPr>
        <w:pStyle w:val="BodyText"/>
        <w:bidi w:val="0"/>
        <w:jc w:val="start"/>
        <w:rPr/>
      </w:pPr>
      <w:r>
        <w:rPr/>
        <w:t>The case is especially suitable for lead-lag analysis. Market and balance-sheet pressure may precede broad narrative attention; public concern can accelerate abruptly; regulatory and governance narratives may follow the visible break.</w:t>
      </w:r>
    </w:p>
    <w:p>
      <w:pPr>
        <w:pStyle w:val="BodyText"/>
        <w:bidi w:val="0"/>
        <w:jc w:val="start"/>
        <w:rPr/>
      </w:pPr>
      <w:r>
        <w:rPr/>
        <w:t>The public-release manuscript should distinguish vulnerability detection, event-window alerting, and post-event confirmation. Any assertion of advance warning must be tied to archived Talosai outputs available before 8–10 March 2023.</w:t>
      </w:r>
    </w:p>
    <w:p>
      <w:pPr>
        <w:pStyle w:val="BodyTextemphasis"/>
        <w:bidi w:val="0"/>
        <w:jc w:val="start"/>
        <w:rPr/>
      </w:pPr>
      <w:r>
        <w:rPr/>
        <w:t>The public-release conclusion should be selected only after the archived data are reviewed. Three outcomes are acceptable: (1) supported advance warning, (2) near-event detection and rapid confirmation, or (3) a calibrated null finding in which Talosai did not materially lead the event but improved interpretation and response after it began. This discipline makes the case study credible.</w:t>
      </w:r>
    </w:p>
    <w:p>
      <w:pPr>
        <w:pStyle w:val="Heading2"/>
        <w:bidi w:val="0"/>
        <w:jc w:val="start"/>
        <w:rPr/>
      </w:pPr>
      <w:r>
        <w:rPr/>
        <w:t>Why This Distinguishes Talosai</w:t>
      </w:r>
    </w:p>
    <w:p>
      <w:pPr>
        <w:pStyle w:val="BodyText"/>
        <w:bidi w:val="0"/>
        <w:jc w:val="start"/>
        <w:rPr/>
      </w:pPr>
      <w:r>
        <w:rPr/>
        <w:t>Talosai’s intended differentiator is not a larger list of headlines. It is the ability to place independent signal streams in relation to historical baselines and to one another, identify when their direction or reliability changes, and translate those changes into a decision posture. The case should answer the following questions without disclosing proprietary scoring mechanics.</w:t>
      </w:r>
    </w:p>
    <w:tbl>
      <w:tblPr>
        <w:tblW w:w="7818" w:type="dxa"/>
        <w:jc w:val="start"/>
        <w:tblInd w:w="0" w:type="dxa"/>
        <w:tblLayout w:type="fixed"/>
        <w:tblCellMar>
          <w:top w:w="28" w:type="dxa"/>
          <w:start w:w="28" w:type="dxa"/>
          <w:bottom w:w="28" w:type="dxa"/>
          <w:end w:w="28" w:type="dxa"/>
        </w:tblCellMar>
      </w:tblPr>
      <w:tblGrid>
        <w:gridCol w:w="2153"/>
        <w:gridCol w:w="2305"/>
        <w:gridCol w:w="3360"/>
      </w:tblGrid>
      <w:tr>
        <w:trPr>
          <w:tblHeader w:val="true"/>
        </w:trPr>
        <w:tc>
          <w:tcPr>
            <w:tcW w:w="2153" w:type="dxa"/>
            <w:tcBorders/>
            <w:vAlign w:val="center"/>
          </w:tcPr>
          <w:p>
            <w:pPr>
              <w:pStyle w:val="TableHeading"/>
              <w:suppressLineNumbers/>
              <w:shd w:fill="133B4A" w:val="clear"/>
              <w:bidi w:val="0"/>
              <w:spacing w:before="120" w:after="120"/>
              <w:jc w:val="start"/>
              <w:rPr/>
            </w:pPr>
            <w:r>
              <w:rPr/>
              <w:t>Risk-intelligence question</w:t>
            </w:r>
          </w:p>
        </w:tc>
        <w:tc>
          <w:tcPr>
            <w:tcW w:w="2305" w:type="dxa"/>
            <w:tcBorders/>
            <w:vAlign w:val="center"/>
          </w:tcPr>
          <w:p>
            <w:pPr>
              <w:pStyle w:val="TableHeading"/>
              <w:suppressLineNumbers/>
              <w:shd w:fill="133B4A" w:val="clear"/>
              <w:bidi w:val="0"/>
              <w:spacing w:before="120" w:after="120"/>
              <w:jc w:val="start"/>
              <w:rPr/>
            </w:pPr>
            <w:r>
              <w:rPr/>
              <w:t>Typical monitoring</w:t>
            </w:r>
          </w:p>
        </w:tc>
        <w:tc>
          <w:tcPr>
            <w:tcW w:w="3360" w:type="dxa"/>
            <w:tcBorders/>
            <w:vAlign w:val="center"/>
          </w:tcPr>
          <w:p>
            <w:pPr>
              <w:pStyle w:val="TableHeading"/>
              <w:suppressLineNumbers/>
              <w:shd w:fill="133B4A" w:val="clear"/>
              <w:bidi w:val="0"/>
              <w:spacing w:before="120" w:after="120"/>
              <w:jc w:val="start"/>
              <w:rPr/>
            </w:pPr>
            <w:r>
              <w:rPr/>
              <w:t>Talosai output to validate</w:t>
            </w:r>
          </w:p>
        </w:tc>
      </w:tr>
      <w:tr>
        <w:trPr/>
        <w:tc>
          <w:tcPr>
            <w:tcW w:w="2153" w:type="dxa"/>
            <w:tcBorders/>
            <w:vAlign w:val="center"/>
          </w:tcPr>
          <w:p>
            <w:pPr>
              <w:pStyle w:val="TableContents"/>
              <w:bidi w:val="0"/>
              <w:spacing w:before="120" w:after="120"/>
              <w:jc w:val="start"/>
              <w:rPr/>
            </w:pPr>
            <w:r>
              <w:rPr/>
              <w:t>Is there coverage?</w:t>
            </w:r>
          </w:p>
        </w:tc>
        <w:tc>
          <w:tcPr>
            <w:tcW w:w="2305" w:type="dxa"/>
            <w:tcBorders/>
            <w:vAlign w:val="center"/>
          </w:tcPr>
          <w:p>
            <w:pPr>
              <w:pStyle w:val="TableContents"/>
              <w:bidi w:val="0"/>
              <w:spacing w:before="120" w:after="120"/>
              <w:jc w:val="start"/>
              <w:rPr/>
            </w:pPr>
            <w:r>
              <w:rPr/>
              <w:t>Lists articles or incidents.</w:t>
            </w:r>
          </w:p>
        </w:tc>
        <w:tc>
          <w:tcPr>
            <w:tcW w:w="3360" w:type="dxa"/>
            <w:tcBorders/>
            <w:vAlign w:val="center"/>
          </w:tcPr>
          <w:p>
            <w:pPr>
              <w:pStyle w:val="TableContents"/>
              <w:bidi w:val="0"/>
              <w:spacing w:before="120" w:after="120"/>
              <w:jc w:val="start"/>
              <w:rPr/>
            </w:pPr>
            <w:r>
              <w:rPr/>
              <w:t>Measures whether pressure is abnormal, accelerating, or broadening relative to historical and country-specific baselines.</w:t>
            </w:r>
          </w:p>
        </w:tc>
      </w:tr>
      <w:tr>
        <w:trPr/>
        <w:tc>
          <w:tcPr>
            <w:tcW w:w="2153" w:type="dxa"/>
            <w:tcBorders/>
            <w:vAlign w:val="center"/>
          </w:tcPr>
          <w:p>
            <w:pPr>
              <w:pStyle w:val="TableContents"/>
              <w:bidi w:val="0"/>
              <w:spacing w:before="120" w:after="120"/>
              <w:jc w:val="start"/>
              <w:rPr/>
            </w:pPr>
            <w:r>
              <w:rPr/>
              <w:t>Is the situation worsening?</w:t>
            </w:r>
          </w:p>
        </w:tc>
        <w:tc>
          <w:tcPr>
            <w:tcW w:w="2305" w:type="dxa"/>
            <w:tcBorders/>
            <w:vAlign w:val="center"/>
          </w:tcPr>
          <w:p>
            <w:pPr>
              <w:pStyle w:val="TableContents"/>
              <w:bidi w:val="0"/>
              <w:spacing w:before="120" w:after="120"/>
              <w:jc w:val="start"/>
              <w:rPr/>
            </w:pPr>
            <w:r>
              <w:rPr/>
              <w:t>Depends on analyst interpretation of headlines.</w:t>
            </w:r>
          </w:p>
        </w:tc>
        <w:tc>
          <w:tcPr>
            <w:tcW w:w="3360" w:type="dxa"/>
            <w:tcBorders/>
            <w:vAlign w:val="center"/>
          </w:tcPr>
          <w:p>
            <w:pPr>
              <w:pStyle w:val="TableContents"/>
              <w:bidi w:val="0"/>
              <w:spacing w:before="120" w:after="120"/>
              <w:jc w:val="start"/>
              <w:rPr/>
            </w:pPr>
            <w:r>
              <w:rPr/>
              <w:t>Quantifies direction, momentum, persistence, and rate of change across independent signal streams.</w:t>
            </w:r>
          </w:p>
        </w:tc>
      </w:tr>
      <w:tr>
        <w:trPr/>
        <w:tc>
          <w:tcPr>
            <w:tcW w:w="2153" w:type="dxa"/>
            <w:tcBorders/>
            <w:vAlign w:val="center"/>
          </w:tcPr>
          <w:p>
            <w:pPr>
              <w:pStyle w:val="TableContents"/>
              <w:bidi w:val="0"/>
              <w:spacing w:before="120" w:after="120"/>
              <w:jc w:val="start"/>
              <w:rPr/>
            </w:pPr>
            <w:r>
              <w:rPr/>
              <w:t>Is the risk isolated or systemic?</w:t>
            </w:r>
          </w:p>
        </w:tc>
        <w:tc>
          <w:tcPr>
            <w:tcW w:w="2305" w:type="dxa"/>
            <w:tcBorders/>
            <w:vAlign w:val="center"/>
          </w:tcPr>
          <w:p>
            <w:pPr>
              <w:pStyle w:val="TableContents"/>
              <w:bidi w:val="0"/>
              <w:spacing w:before="120" w:after="120"/>
              <w:jc w:val="start"/>
              <w:rPr/>
            </w:pPr>
            <w:r>
              <w:rPr/>
              <w:t>Often treats political, social, market, and security categories separately.</w:t>
            </w:r>
          </w:p>
        </w:tc>
        <w:tc>
          <w:tcPr>
            <w:tcW w:w="3360" w:type="dxa"/>
            <w:tcBorders/>
            <w:vAlign w:val="center"/>
          </w:tcPr>
          <w:p>
            <w:pPr>
              <w:pStyle w:val="TableContents"/>
              <w:bidi w:val="0"/>
              <w:spacing w:before="120" w:after="120"/>
              <w:jc w:val="start"/>
              <w:rPr/>
            </w:pPr>
            <w:r>
              <w:rPr/>
              <w:t>Tests convergence, divergence, and lead-lag relationships across narrative, public-concern, financial, and domain indicators.</w:t>
            </w:r>
          </w:p>
        </w:tc>
      </w:tr>
      <w:tr>
        <w:trPr/>
        <w:tc>
          <w:tcPr>
            <w:tcW w:w="2153" w:type="dxa"/>
            <w:tcBorders/>
            <w:vAlign w:val="center"/>
          </w:tcPr>
          <w:p>
            <w:pPr>
              <w:pStyle w:val="TableContents"/>
              <w:bidi w:val="0"/>
              <w:spacing w:before="120" w:after="120"/>
              <w:jc w:val="start"/>
              <w:rPr/>
            </w:pPr>
            <w:r>
              <w:rPr/>
              <w:t>When should decisions change?</w:t>
            </w:r>
          </w:p>
        </w:tc>
        <w:tc>
          <w:tcPr>
            <w:tcW w:w="2305" w:type="dxa"/>
            <w:tcBorders/>
            <w:vAlign w:val="center"/>
          </w:tcPr>
          <w:p>
            <w:pPr>
              <w:pStyle w:val="TableContents"/>
              <w:bidi w:val="0"/>
              <w:spacing w:before="120" w:after="120"/>
              <w:jc w:val="start"/>
              <w:rPr/>
            </w:pPr>
            <w:r>
              <w:rPr/>
              <w:t>Often becomes clearest after disruption is visible.</w:t>
            </w:r>
          </w:p>
        </w:tc>
        <w:tc>
          <w:tcPr>
            <w:tcW w:w="3360" w:type="dxa"/>
            <w:tcBorders/>
            <w:vAlign w:val="center"/>
          </w:tcPr>
          <w:p>
            <w:pPr>
              <w:pStyle w:val="TableContents"/>
              <w:bidi w:val="0"/>
              <w:spacing w:before="120" w:after="120"/>
              <w:jc w:val="start"/>
              <w:rPr/>
            </w:pPr>
            <w:r>
              <w:rPr/>
              <w:t>Supports staged posture changes—monitor, watch, alert, critical warning, and continuity execution.</w:t>
            </w:r>
          </w:p>
        </w:tc>
      </w:tr>
      <w:tr>
        <w:trPr/>
        <w:tc>
          <w:tcPr>
            <w:tcW w:w="2153" w:type="dxa"/>
            <w:tcBorders/>
            <w:vAlign w:val="center"/>
          </w:tcPr>
          <w:p>
            <w:pPr>
              <w:pStyle w:val="TableContents"/>
              <w:bidi w:val="0"/>
              <w:spacing w:before="120" w:after="120"/>
              <w:jc w:val="start"/>
              <w:rPr/>
            </w:pPr>
            <w:r>
              <w:rPr/>
              <w:t>What should be done?</w:t>
            </w:r>
          </w:p>
        </w:tc>
        <w:tc>
          <w:tcPr>
            <w:tcW w:w="2305" w:type="dxa"/>
            <w:tcBorders/>
            <w:vAlign w:val="center"/>
          </w:tcPr>
          <w:p>
            <w:pPr>
              <w:pStyle w:val="TableContents"/>
              <w:bidi w:val="0"/>
              <w:spacing w:before="120" w:after="120"/>
              <w:jc w:val="start"/>
              <w:rPr/>
            </w:pPr>
            <w:r>
              <w:rPr/>
              <w:t>May leave response design to the reader.</w:t>
            </w:r>
          </w:p>
        </w:tc>
        <w:tc>
          <w:tcPr>
            <w:tcW w:w="3360" w:type="dxa"/>
            <w:tcBorders/>
            <w:vAlign w:val="center"/>
          </w:tcPr>
          <w:p>
            <w:pPr>
              <w:pStyle w:val="TableContents"/>
              <w:bidi w:val="0"/>
              <w:spacing w:before="120" w:after="120"/>
              <w:jc w:val="start"/>
              <w:rPr/>
            </w:pPr>
            <w:r>
              <w:rPr/>
              <w:t>Connects the observed signal state to monitoring cadence, exposure review, contingency triggers, communications, and continuity actions.</w:t>
            </w:r>
          </w:p>
        </w:tc>
      </w:tr>
    </w:tbl>
    <w:p>
      <w:pPr>
        <w:pStyle w:val="Heading2"/>
        <w:bidi w:val="0"/>
        <w:jc w:val="start"/>
        <w:rPr/>
      </w:pPr>
      <w:r>
        <w:rPr/>
        <w:t>Reference Crisis Timeline</w:t>
      </w:r>
    </w:p>
    <w:p>
      <w:pPr>
        <w:pStyle w:val="BodyText"/>
        <w:bidi w:val="0"/>
        <w:jc w:val="start"/>
        <w:rPr/>
      </w:pPr>
      <w:r>
        <w:rPr/>
        <w:t>These event anchors provide the comparison framework for the archived Talosai outputs. They are not substitutes for the outputs and should not be used to backfill a prediction. Weekly data should be aligned to the nearest available as-of date, with the timing limitation stated explicitly.</w:t>
      </w:r>
    </w:p>
    <w:tbl>
      <w:tblPr>
        <w:tblW w:w="7818" w:type="dxa"/>
        <w:jc w:val="start"/>
        <w:tblInd w:w="0" w:type="dxa"/>
        <w:tblLayout w:type="fixed"/>
        <w:tblCellMar>
          <w:top w:w="28" w:type="dxa"/>
          <w:start w:w="28" w:type="dxa"/>
          <w:bottom w:w="28" w:type="dxa"/>
          <w:end w:w="28" w:type="dxa"/>
        </w:tblCellMar>
      </w:tblPr>
      <w:tblGrid>
        <w:gridCol w:w="1278"/>
        <w:gridCol w:w="2005"/>
        <w:gridCol w:w="4535"/>
      </w:tblGrid>
      <w:tr>
        <w:trPr>
          <w:tblHeader w:val="true"/>
        </w:trPr>
        <w:tc>
          <w:tcPr>
            <w:tcW w:w="1278" w:type="dxa"/>
            <w:tcBorders/>
            <w:vAlign w:val="center"/>
          </w:tcPr>
          <w:p>
            <w:pPr>
              <w:pStyle w:val="TableHeading"/>
              <w:suppressLineNumbers/>
              <w:shd w:fill="133B4A" w:val="clear"/>
              <w:bidi w:val="0"/>
              <w:spacing w:before="120" w:after="120"/>
              <w:jc w:val="start"/>
              <w:rPr/>
            </w:pPr>
            <w:r>
              <w:rPr/>
              <w:t>Date/window</w:t>
            </w:r>
          </w:p>
        </w:tc>
        <w:tc>
          <w:tcPr>
            <w:tcW w:w="2005" w:type="dxa"/>
            <w:tcBorders/>
            <w:vAlign w:val="center"/>
          </w:tcPr>
          <w:p>
            <w:pPr>
              <w:pStyle w:val="TableHeading"/>
              <w:suppressLineNumbers/>
              <w:shd w:fill="133B4A" w:val="clear"/>
              <w:bidi w:val="0"/>
              <w:spacing w:before="120" w:after="120"/>
              <w:jc w:val="start"/>
              <w:rPr/>
            </w:pPr>
            <w:r>
              <w:rPr/>
              <w:t>Milestone</w:t>
            </w:r>
          </w:p>
        </w:tc>
        <w:tc>
          <w:tcPr>
            <w:tcW w:w="4535" w:type="dxa"/>
            <w:tcBorders/>
            <w:vAlign w:val="center"/>
          </w:tcPr>
          <w:p>
            <w:pPr>
              <w:pStyle w:val="TableHeading"/>
              <w:suppressLineNumbers/>
              <w:shd w:fill="133B4A" w:val="clear"/>
              <w:bidi w:val="0"/>
              <w:spacing w:before="120" w:after="120"/>
              <w:jc w:val="start"/>
              <w:rPr/>
            </w:pPr>
            <w:r>
              <w:rPr/>
              <w:t>Analytical use</w:t>
            </w:r>
          </w:p>
        </w:tc>
      </w:tr>
      <w:tr>
        <w:trPr/>
        <w:tc>
          <w:tcPr>
            <w:tcW w:w="1278" w:type="dxa"/>
            <w:tcBorders/>
            <w:vAlign w:val="center"/>
          </w:tcPr>
          <w:p>
            <w:pPr>
              <w:pStyle w:val="TableContents"/>
              <w:bidi w:val="0"/>
              <w:spacing w:before="120" w:after="120"/>
              <w:jc w:val="start"/>
              <w:rPr/>
            </w:pPr>
            <w:r>
              <w:rPr/>
              <w:t>Dec. 2022–Jan. 2023</w:t>
            </w:r>
          </w:p>
        </w:tc>
        <w:tc>
          <w:tcPr>
            <w:tcW w:w="2005" w:type="dxa"/>
            <w:tcBorders/>
            <w:vAlign w:val="center"/>
          </w:tcPr>
          <w:p>
            <w:pPr>
              <w:pStyle w:val="TableContents"/>
              <w:bidi w:val="0"/>
              <w:spacing w:before="120" w:after="120"/>
              <w:jc w:val="start"/>
              <w:rPr/>
            </w:pPr>
            <w:r>
              <w:rPr/>
              <w:t>Baseline vulnerability</w:t>
            </w:r>
          </w:p>
        </w:tc>
        <w:tc>
          <w:tcPr>
            <w:tcW w:w="4535" w:type="dxa"/>
            <w:tcBorders/>
            <w:vAlign w:val="center"/>
          </w:tcPr>
          <w:p>
            <w:pPr>
              <w:pStyle w:val="TableContents"/>
              <w:bidi w:val="0"/>
              <w:spacing w:before="120" w:after="120"/>
              <w:jc w:val="start"/>
              <w:rPr/>
            </w:pPr>
            <w:r>
              <w:rPr/>
              <w:t>Establish the normal range for financial pressure, bank-sector narratives, depositor concern, technology-sector funding stress, and interest-rate exposure.</w:t>
            </w:r>
          </w:p>
        </w:tc>
      </w:tr>
      <w:tr>
        <w:trPr/>
        <w:tc>
          <w:tcPr>
            <w:tcW w:w="1278" w:type="dxa"/>
            <w:tcBorders/>
            <w:vAlign w:val="center"/>
          </w:tcPr>
          <w:p>
            <w:pPr>
              <w:pStyle w:val="TableContents"/>
              <w:bidi w:val="0"/>
              <w:spacing w:before="120" w:after="120"/>
              <w:jc w:val="start"/>
              <w:rPr/>
            </w:pPr>
            <w:r>
              <w:rPr/>
              <w:t>Feb. 2023</w:t>
            </w:r>
          </w:p>
        </w:tc>
        <w:tc>
          <w:tcPr>
            <w:tcW w:w="2005" w:type="dxa"/>
            <w:tcBorders/>
            <w:vAlign w:val="center"/>
          </w:tcPr>
          <w:p>
            <w:pPr>
              <w:pStyle w:val="TableContents"/>
              <w:bidi w:val="0"/>
              <w:spacing w:before="120" w:after="120"/>
              <w:jc w:val="start"/>
              <w:rPr/>
            </w:pPr>
            <w:r>
              <w:rPr/>
              <w:t>Pre-event monitoring</w:t>
            </w:r>
          </w:p>
        </w:tc>
        <w:tc>
          <w:tcPr>
            <w:tcW w:w="4535" w:type="dxa"/>
            <w:tcBorders/>
            <w:vAlign w:val="center"/>
          </w:tcPr>
          <w:p>
            <w:pPr>
              <w:pStyle w:val="TableContents"/>
              <w:bidi w:val="0"/>
              <w:spacing w:before="120" w:after="120"/>
              <w:jc w:val="start"/>
              <w:rPr/>
            </w:pPr>
            <w:r>
              <w:rPr/>
              <w:t>Test for rising concern about unrealized losses, liquidity, deposit concentration, venture funding, layoffs, or bank counterparty exposure.</w:t>
            </w:r>
          </w:p>
        </w:tc>
      </w:tr>
      <w:tr>
        <w:trPr/>
        <w:tc>
          <w:tcPr>
            <w:tcW w:w="1278" w:type="dxa"/>
            <w:tcBorders/>
            <w:vAlign w:val="center"/>
          </w:tcPr>
          <w:p>
            <w:pPr>
              <w:pStyle w:val="TableContents"/>
              <w:bidi w:val="0"/>
              <w:spacing w:before="120" w:after="120"/>
              <w:jc w:val="start"/>
              <w:rPr/>
            </w:pPr>
            <w:r>
              <w:rPr/>
              <w:t>8 Mar. 2023</w:t>
            </w:r>
          </w:p>
        </w:tc>
        <w:tc>
          <w:tcPr>
            <w:tcW w:w="2005" w:type="dxa"/>
            <w:tcBorders/>
            <w:vAlign w:val="center"/>
          </w:tcPr>
          <w:p>
            <w:pPr>
              <w:pStyle w:val="TableContents"/>
              <w:bidi w:val="0"/>
              <w:spacing w:before="120" w:after="120"/>
              <w:jc w:val="start"/>
              <w:rPr/>
            </w:pPr>
            <w:r>
              <w:rPr/>
              <w:t>Restructuring announcement</w:t>
            </w:r>
          </w:p>
        </w:tc>
        <w:tc>
          <w:tcPr>
            <w:tcW w:w="4535" w:type="dxa"/>
            <w:tcBorders/>
            <w:vAlign w:val="center"/>
          </w:tcPr>
          <w:p>
            <w:pPr>
              <w:pStyle w:val="TableContents"/>
              <w:bidi w:val="0"/>
              <w:spacing w:before="120" w:after="120"/>
              <w:jc w:val="start"/>
              <w:rPr/>
            </w:pPr>
            <w:r>
              <w:rPr/>
              <w:t>SVB announced a securities sale with an approximately $1.8 billion loss and plans to raise capital.</w:t>
            </w:r>
          </w:p>
        </w:tc>
      </w:tr>
      <w:tr>
        <w:trPr/>
        <w:tc>
          <w:tcPr>
            <w:tcW w:w="1278" w:type="dxa"/>
            <w:tcBorders/>
            <w:vAlign w:val="center"/>
          </w:tcPr>
          <w:p>
            <w:pPr>
              <w:pStyle w:val="TableContents"/>
              <w:bidi w:val="0"/>
              <w:spacing w:before="120" w:after="120"/>
              <w:jc w:val="start"/>
              <w:rPr/>
            </w:pPr>
            <w:r>
              <w:rPr/>
              <w:t>9 Mar. 2023</w:t>
            </w:r>
          </w:p>
        </w:tc>
        <w:tc>
          <w:tcPr>
            <w:tcW w:w="2005" w:type="dxa"/>
            <w:tcBorders/>
            <w:vAlign w:val="center"/>
          </w:tcPr>
          <w:p>
            <w:pPr>
              <w:pStyle w:val="TableContents"/>
              <w:bidi w:val="0"/>
              <w:spacing w:before="120" w:after="120"/>
              <w:jc w:val="start"/>
              <w:rPr/>
            </w:pPr>
            <w:r>
              <w:rPr/>
              <w:t>Accelerating bank run</w:t>
            </w:r>
          </w:p>
        </w:tc>
        <w:tc>
          <w:tcPr>
            <w:tcW w:w="4535" w:type="dxa"/>
            <w:tcBorders/>
            <w:vAlign w:val="center"/>
          </w:tcPr>
          <w:p>
            <w:pPr>
              <w:pStyle w:val="TableContents"/>
              <w:bidi w:val="0"/>
              <w:spacing w:before="120" w:after="120"/>
              <w:jc w:val="start"/>
              <w:rPr/>
            </w:pPr>
            <w:r>
              <w:rPr/>
              <w:t>More than $40 billion in deposits left; the bank’s share price fell sharply and confidence deteriorated.</w:t>
            </w:r>
          </w:p>
        </w:tc>
      </w:tr>
      <w:tr>
        <w:trPr/>
        <w:tc>
          <w:tcPr>
            <w:tcW w:w="1278" w:type="dxa"/>
            <w:tcBorders/>
            <w:vAlign w:val="center"/>
          </w:tcPr>
          <w:p>
            <w:pPr>
              <w:pStyle w:val="TableContents"/>
              <w:bidi w:val="0"/>
              <w:spacing w:before="120" w:after="120"/>
              <w:jc w:val="start"/>
              <w:rPr/>
            </w:pPr>
            <w:r>
              <w:rPr/>
              <w:t>10 Mar. 2023</w:t>
            </w:r>
          </w:p>
        </w:tc>
        <w:tc>
          <w:tcPr>
            <w:tcW w:w="2005" w:type="dxa"/>
            <w:tcBorders/>
            <w:vAlign w:val="center"/>
          </w:tcPr>
          <w:p>
            <w:pPr>
              <w:pStyle w:val="TableContents"/>
              <w:bidi w:val="0"/>
              <w:spacing w:before="120" w:after="120"/>
              <w:jc w:val="start"/>
              <w:rPr/>
            </w:pPr>
            <w:r>
              <w:rPr/>
              <w:t>Bank closure</w:t>
            </w:r>
          </w:p>
        </w:tc>
        <w:tc>
          <w:tcPr>
            <w:tcW w:w="4535" w:type="dxa"/>
            <w:tcBorders/>
            <w:vAlign w:val="center"/>
          </w:tcPr>
          <w:p>
            <w:pPr>
              <w:pStyle w:val="TableContents"/>
              <w:bidi w:val="0"/>
              <w:spacing w:before="120" w:after="120"/>
              <w:jc w:val="start"/>
              <w:rPr/>
            </w:pPr>
            <w:r>
              <w:rPr/>
              <w:t>California regulators closed SVB and appointed the FDIC as receiver.</w:t>
            </w:r>
          </w:p>
        </w:tc>
      </w:tr>
      <w:tr>
        <w:trPr/>
        <w:tc>
          <w:tcPr>
            <w:tcW w:w="1278" w:type="dxa"/>
            <w:tcBorders/>
            <w:vAlign w:val="center"/>
          </w:tcPr>
          <w:p>
            <w:pPr>
              <w:pStyle w:val="TableContents"/>
              <w:bidi w:val="0"/>
              <w:spacing w:before="120" w:after="120"/>
              <w:jc w:val="start"/>
              <w:rPr/>
            </w:pPr>
            <w:r>
              <w:rPr/>
              <w:t>12 Mar. 2023</w:t>
            </w:r>
          </w:p>
        </w:tc>
        <w:tc>
          <w:tcPr>
            <w:tcW w:w="2005" w:type="dxa"/>
            <w:tcBorders/>
            <w:vAlign w:val="center"/>
          </w:tcPr>
          <w:p>
            <w:pPr>
              <w:pStyle w:val="TableContents"/>
              <w:bidi w:val="0"/>
              <w:spacing w:before="120" w:after="120"/>
              <w:jc w:val="start"/>
              <w:rPr/>
            </w:pPr>
            <w:r>
              <w:rPr/>
              <w:t>Systemic-risk response</w:t>
            </w:r>
          </w:p>
        </w:tc>
        <w:tc>
          <w:tcPr>
            <w:tcW w:w="4535" w:type="dxa"/>
            <w:tcBorders/>
            <w:vAlign w:val="center"/>
          </w:tcPr>
          <w:p>
            <w:pPr>
              <w:pStyle w:val="TableContents"/>
              <w:bidi w:val="0"/>
              <w:spacing w:before="120" w:after="120"/>
              <w:jc w:val="start"/>
              <w:rPr/>
            </w:pPr>
            <w:r>
              <w:rPr/>
              <w:t>Treasury, the Federal Reserve, and FDIC announced steps to protect all depositors and support banking-system liquidity.</w:t>
            </w:r>
          </w:p>
        </w:tc>
      </w:tr>
      <w:tr>
        <w:trPr/>
        <w:tc>
          <w:tcPr>
            <w:tcW w:w="1278" w:type="dxa"/>
            <w:tcBorders/>
            <w:vAlign w:val="center"/>
          </w:tcPr>
          <w:p>
            <w:pPr>
              <w:pStyle w:val="TableContents"/>
              <w:bidi w:val="0"/>
              <w:spacing w:before="120" w:after="120"/>
              <w:jc w:val="start"/>
              <w:rPr/>
            </w:pPr>
            <w:r>
              <w:rPr/>
              <w:t>26 Mar. 2023</w:t>
            </w:r>
          </w:p>
        </w:tc>
        <w:tc>
          <w:tcPr>
            <w:tcW w:w="2005" w:type="dxa"/>
            <w:tcBorders/>
            <w:vAlign w:val="center"/>
          </w:tcPr>
          <w:p>
            <w:pPr>
              <w:pStyle w:val="TableContents"/>
              <w:bidi w:val="0"/>
              <w:spacing w:before="120" w:after="120"/>
              <w:jc w:val="start"/>
              <w:rPr/>
            </w:pPr>
            <w:r>
              <w:rPr/>
              <w:t>Resolution transaction</w:t>
            </w:r>
          </w:p>
        </w:tc>
        <w:tc>
          <w:tcPr>
            <w:tcW w:w="4535" w:type="dxa"/>
            <w:tcBorders/>
            <w:vAlign w:val="center"/>
          </w:tcPr>
          <w:p>
            <w:pPr>
              <w:pStyle w:val="TableContents"/>
              <w:bidi w:val="0"/>
              <w:spacing w:before="120" w:after="120"/>
              <w:jc w:val="start"/>
              <w:rPr/>
            </w:pPr>
            <w:r>
              <w:rPr/>
              <w:t>The FDIC announced that First Citizens would assume deposits and loans of Silicon Valley Bridge Bank.</w:t>
            </w:r>
          </w:p>
        </w:tc>
      </w:tr>
    </w:tbl>
    <w:p>
      <w:pPr>
        <w:pStyle w:val="Heading2"/>
        <w:bidi w:val="0"/>
        <w:jc w:val="start"/>
        <w:rPr/>
      </w:pPr>
      <w:r>
        <w:rPr/>
        <w:t>Proposed Performance Timeline</w:t>
      </w:r>
    </w:p>
    <w:tbl>
      <w:tblPr>
        <w:tblW w:w="7818" w:type="dxa"/>
        <w:jc w:val="start"/>
        <w:tblInd w:w="0" w:type="dxa"/>
        <w:tblLayout w:type="fixed"/>
        <w:tblCellMar>
          <w:top w:w="28" w:type="dxa"/>
          <w:start w:w="28" w:type="dxa"/>
          <w:bottom w:w="28" w:type="dxa"/>
          <w:end w:w="28" w:type="dxa"/>
        </w:tblCellMar>
      </w:tblPr>
      <w:tblGrid>
        <w:gridCol w:w="1188"/>
        <w:gridCol w:w="1416"/>
        <w:gridCol w:w="3661"/>
        <w:gridCol w:w="1553"/>
      </w:tblGrid>
      <w:tr>
        <w:trPr>
          <w:tblHeader w:val="true"/>
        </w:trPr>
        <w:tc>
          <w:tcPr>
            <w:tcW w:w="1188" w:type="dxa"/>
            <w:tcBorders/>
            <w:vAlign w:val="center"/>
          </w:tcPr>
          <w:p>
            <w:pPr>
              <w:pStyle w:val="TableHeading"/>
              <w:suppressLineNumbers/>
              <w:shd w:fill="133B4A" w:val="clear"/>
              <w:bidi w:val="0"/>
              <w:spacing w:before="120" w:after="120"/>
              <w:jc w:val="start"/>
              <w:rPr/>
            </w:pPr>
            <w:r>
              <w:rPr/>
              <w:t>Window</w:t>
            </w:r>
          </w:p>
        </w:tc>
        <w:tc>
          <w:tcPr>
            <w:tcW w:w="1416" w:type="dxa"/>
            <w:tcBorders/>
            <w:vAlign w:val="center"/>
          </w:tcPr>
          <w:p>
            <w:pPr>
              <w:pStyle w:val="TableHeading"/>
              <w:suppressLineNumbers/>
              <w:shd w:fill="133B4A" w:val="clear"/>
              <w:bidi w:val="0"/>
              <w:spacing w:before="120" w:after="120"/>
              <w:jc w:val="start"/>
              <w:rPr/>
            </w:pPr>
            <w:r>
              <w:rPr/>
              <w:t>Lead time / signal state</w:t>
            </w:r>
          </w:p>
        </w:tc>
        <w:tc>
          <w:tcPr>
            <w:tcW w:w="3661" w:type="dxa"/>
            <w:tcBorders/>
            <w:vAlign w:val="center"/>
          </w:tcPr>
          <w:p>
            <w:pPr>
              <w:pStyle w:val="TableHeading"/>
              <w:suppressLineNumbers/>
              <w:shd w:fill="133B4A" w:val="clear"/>
              <w:bidi w:val="0"/>
              <w:spacing w:before="120" w:after="120"/>
              <w:jc w:val="start"/>
              <w:rPr/>
            </w:pPr>
            <w:r>
              <w:rPr/>
              <w:t>What Talosai output must show</w:t>
            </w:r>
          </w:p>
        </w:tc>
        <w:tc>
          <w:tcPr>
            <w:tcW w:w="1553" w:type="dxa"/>
            <w:tcBorders/>
            <w:vAlign w:val="center"/>
          </w:tcPr>
          <w:p>
            <w:pPr>
              <w:pStyle w:val="TableHeading"/>
              <w:suppressLineNumbers/>
              <w:shd w:fill="133B4A" w:val="clear"/>
              <w:bidi w:val="0"/>
              <w:spacing w:before="120" w:after="120"/>
              <w:jc w:val="start"/>
              <w:rPr/>
            </w:pPr>
            <w:r>
              <w:rPr/>
              <w:t>Decision value</w:t>
            </w:r>
          </w:p>
        </w:tc>
      </w:tr>
      <w:tr>
        <w:trPr/>
        <w:tc>
          <w:tcPr>
            <w:tcW w:w="1188" w:type="dxa"/>
            <w:tcBorders/>
            <w:vAlign w:val="center"/>
          </w:tcPr>
          <w:p>
            <w:pPr>
              <w:pStyle w:val="TableContents"/>
              <w:bidi w:val="0"/>
              <w:spacing w:before="120" w:after="120"/>
              <w:jc w:val="start"/>
              <w:rPr/>
            </w:pPr>
            <w:r>
              <w:rPr/>
              <w:t>Dec. 2022–Jan. 2023</w:t>
            </w:r>
          </w:p>
        </w:tc>
        <w:tc>
          <w:tcPr>
            <w:tcW w:w="1416" w:type="dxa"/>
            <w:tcBorders/>
            <w:vAlign w:val="center"/>
          </w:tcPr>
          <w:p>
            <w:pPr>
              <w:pStyle w:val="TableContents"/>
              <w:bidi w:val="0"/>
              <w:spacing w:before="120" w:after="120"/>
              <w:jc w:val="start"/>
              <w:rPr/>
            </w:pPr>
            <w:r>
              <w:rPr/>
              <w:t>[TALOSAI DATA REQUIRED]</w:t>
            </w:r>
          </w:p>
        </w:tc>
        <w:tc>
          <w:tcPr>
            <w:tcW w:w="3661" w:type="dxa"/>
            <w:tcBorders/>
            <w:vAlign w:val="center"/>
          </w:tcPr>
          <w:p>
            <w:pPr>
              <w:pStyle w:val="TableContents"/>
              <w:bidi w:val="0"/>
              <w:spacing w:before="120" w:after="120"/>
              <w:jc w:val="start"/>
              <w:rPr/>
            </w:pPr>
            <w:r>
              <w:rPr/>
              <w:t>Compare archived signal state with: Baseline vulnerability. Establish the normal range for financial pressure, bank-sector narratives, depositor concern, technology-sector funding stress, and interest-rate exposure.</w:t>
            </w:r>
          </w:p>
        </w:tc>
        <w:tc>
          <w:tcPr>
            <w:tcW w:w="1553" w:type="dxa"/>
            <w:tcBorders/>
            <w:vAlign w:val="center"/>
          </w:tcPr>
          <w:p>
            <w:pPr>
              <w:pStyle w:val="TableContents"/>
              <w:bidi w:val="0"/>
              <w:spacing w:before="120" w:after="120"/>
              <w:jc w:val="start"/>
              <w:rPr/>
            </w:pPr>
            <w:r>
              <w:rPr/>
              <w:t>[DECISION POSTURE TO VALIDATE]</w:t>
            </w:r>
          </w:p>
        </w:tc>
      </w:tr>
      <w:tr>
        <w:trPr/>
        <w:tc>
          <w:tcPr>
            <w:tcW w:w="1188" w:type="dxa"/>
            <w:tcBorders/>
            <w:vAlign w:val="center"/>
          </w:tcPr>
          <w:p>
            <w:pPr>
              <w:pStyle w:val="TableContents"/>
              <w:bidi w:val="0"/>
              <w:spacing w:before="120" w:after="120"/>
              <w:jc w:val="start"/>
              <w:rPr/>
            </w:pPr>
            <w:r>
              <w:rPr/>
              <w:t>Feb. 2023</w:t>
            </w:r>
          </w:p>
        </w:tc>
        <w:tc>
          <w:tcPr>
            <w:tcW w:w="1416" w:type="dxa"/>
            <w:tcBorders/>
            <w:vAlign w:val="center"/>
          </w:tcPr>
          <w:p>
            <w:pPr>
              <w:pStyle w:val="TableContents"/>
              <w:bidi w:val="0"/>
              <w:spacing w:before="120" w:after="120"/>
              <w:jc w:val="start"/>
              <w:rPr/>
            </w:pPr>
            <w:r>
              <w:rPr/>
              <w:t>[TALOSAI DATA REQUIRED]</w:t>
            </w:r>
          </w:p>
        </w:tc>
        <w:tc>
          <w:tcPr>
            <w:tcW w:w="3661" w:type="dxa"/>
            <w:tcBorders/>
            <w:vAlign w:val="center"/>
          </w:tcPr>
          <w:p>
            <w:pPr>
              <w:pStyle w:val="TableContents"/>
              <w:bidi w:val="0"/>
              <w:spacing w:before="120" w:after="120"/>
              <w:jc w:val="start"/>
              <w:rPr/>
            </w:pPr>
            <w:r>
              <w:rPr/>
              <w:t>Compare archived signal state with: Pre-event monitoring. Test for rising concern about unrealized losses, liquidity, deposit concentration, venture funding, layoffs, or bank counterparty exposure.</w:t>
            </w:r>
          </w:p>
        </w:tc>
        <w:tc>
          <w:tcPr>
            <w:tcW w:w="1553" w:type="dxa"/>
            <w:tcBorders/>
            <w:vAlign w:val="center"/>
          </w:tcPr>
          <w:p>
            <w:pPr>
              <w:pStyle w:val="TableContents"/>
              <w:bidi w:val="0"/>
              <w:spacing w:before="120" w:after="120"/>
              <w:jc w:val="start"/>
              <w:rPr/>
            </w:pPr>
            <w:r>
              <w:rPr/>
              <w:t>[DECISION POSTURE TO VALIDATE]</w:t>
            </w:r>
          </w:p>
        </w:tc>
      </w:tr>
      <w:tr>
        <w:trPr/>
        <w:tc>
          <w:tcPr>
            <w:tcW w:w="1188" w:type="dxa"/>
            <w:tcBorders/>
            <w:vAlign w:val="center"/>
          </w:tcPr>
          <w:p>
            <w:pPr>
              <w:pStyle w:val="TableContents"/>
              <w:bidi w:val="0"/>
              <w:spacing w:before="120" w:after="120"/>
              <w:jc w:val="start"/>
              <w:rPr/>
            </w:pPr>
            <w:r>
              <w:rPr/>
              <w:t>8 Mar. 2023</w:t>
            </w:r>
          </w:p>
        </w:tc>
        <w:tc>
          <w:tcPr>
            <w:tcW w:w="1416" w:type="dxa"/>
            <w:tcBorders/>
            <w:vAlign w:val="center"/>
          </w:tcPr>
          <w:p>
            <w:pPr>
              <w:pStyle w:val="TableContents"/>
              <w:bidi w:val="0"/>
              <w:spacing w:before="120" w:after="120"/>
              <w:jc w:val="start"/>
              <w:rPr/>
            </w:pPr>
            <w:r>
              <w:rPr/>
              <w:t>[TALOSAI DATA REQUIRED]</w:t>
            </w:r>
          </w:p>
        </w:tc>
        <w:tc>
          <w:tcPr>
            <w:tcW w:w="3661" w:type="dxa"/>
            <w:tcBorders/>
            <w:vAlign w:val="center"/>
          </w:tcPr>
          <w:p>
            <w:pPr>
              <w:pStyle w:val="TableContents"/>
              <w:bidi w:val="0"/>
              <w:spacing w:before="120" w:after="120"/>
              <w:jc w:val="start"/>
              <w:rPr/>
            </w:pPr>
            <w:r>
              <w:rPr/>
              <w:t>Compare archived signal state with: Restructuring announcement. SVB announced a securities sale with an approximately $1.8 billion loss and plans to raise capital.</w:t>
            </w:r>
          </w:p>
        </w:tc>
        <w:tc>
          <w:tcPr>
            <w:tcW w:w="1553" w:type="dxa"/>
            <w:tcBorders/>
            <w:vAlign w:val="center"/>
          </w:tcPr>
          <w:p>
            <w:pPr>
              <w:pStyle w:val="TableContents"/>
              <w:bidi w:val="0"/>
              <w:spacing w:before="120" w:after="120"/>
              <w:jc w:val="start"/>
              <w:rPr/>
            </w:pPr>
            <w:r>
              <w:rPr/>
              <w:t>[DECISION POSTURE TO VALIDATE]</w:t>
            </w:r>
          </w:p>
        </w:tc>
      </w:tr>
      <w:tr>
        <w:trPr/>
        <w:tc>
          <w:tcPr>
            <w:tcW w:w="1188" w:type="dxa"/>
            <w:tcBorders/>
            <w:vAlign w:val="center"/>
          </w:tcPr>
          <w:p>
            <w:pPr>
              <w:pStyle w:val="TableContents"/>
              <w:bidi w:val="0"/>
              <w:spacing w:before="120" w:after="120"/>
              <w:jc w:val="start"/>
              <w:rPr/>
            </w:pPr>
            <w:r>
              <w:rPr/>
              <w:t>9 Mar. 2023</w:t>
            </w:r>
          </w:p>
        </w:tc>
        <w:tc>
          <w:tcPr>
            <w:tcW w:w="1416" w:type="dxa"/>
            <w:tcBorders/>
            <w:vAlign w:val="center"/>
          </w:tcPr>
          <w:p>
            <w:pPr>
              <w:pStyle w:val="TableContents"/>
              <w:bidi w:val="0"/>
              <w:spacing w:before="120" w:after="120"/>
              <w:jc w:val="start"/>
              <w:rPr/>
            </w:pPr>
            <w:r>
              <w:rPr/>
              <w:t>[TALOSAI DATA REQUIRED]</w:t>
            </w:r>
          </w:p>
        </w:tc>
        <w:tc>
          <w:tcPr>
            <w:tcW w:w="3661" w:type="dxa"/>
            <w:tcBorders/>
            <w:vAlign w:val="center"/>
          </w:tcPr>
          <w:p>
            <w:pPr>
              <w:pStyle w:val="TableContents"/>
              <w:bidi w:val="0"/>
              <w:spacing w:before="120" w:after="120"/>
              <w:jc w:val="start"/>
              <w:rPr/>
            </w:pPr>
            <w:r>
              <w:rPr/>
              <w:t>Compare archived signal state with: Accelerating bank run. More than $40 billion in deposits left; the bank’s share price fell sharply and confidence deteriorated.</w:t>
            </w:r>
          </w:p>
        </w:tc>
        <w:tc>
          <w:tcPr>
            <w:tcW w:w="1553" w:type="dxa"/>
            <w:tcBorders/>
            <w:vAlign w:val="center"/>
          </w:tcPr>
          <w:p>
            <w:pPr>
              <w:pStyle w:val="TableContents"/>
              <w:bidi w:val="0"/>
              <w:spacing w:before="120" w:after="120"/>
              <w:jc w:val="start"/>
              <w:rPr/>
            </w:pPr>
            <w:r>
              <w:rPr/>
              <w:t>[DECISION POSTURE TO VALIDATE]</w:t>
            </w:r>
          </w:p>
        </w:tc>
      </w:tr>
      <w:tr>
        <w:trPr/>
        <w:tc>
          <w:tcPr>
            <w:tcW w:w="1188" w:type="dxa"/>
            <w:tcBorders/>
            <w:vAlign w:val="center"/>
          </w:tcPr>
          <w:p>
            <w:pPr>
              <w:pStyle w:val="TableContents"/>
              <w:bidi w:val="0"/>
              <w:spacing w:before="120" w:after="120"/>
              <w:jc w:val="start"/>
              <w:rPr/>
            </w:pPr>
            <w:r>
              <w:rPr/>
              <w:t>10 Mar. 2023</w:t>
            </w:r>
          </w:p>
        </w:tc>
        <w:tc>
          <w:tcPr>
            <w:tcW w:w="1416" w:type="dxa"/>
            <w:tcBorders/>
            <w:vAlign w:val="center"/>
          </w:tcPr>
          <w:p>
            <w:pPr>
              <w:pStyle w:val="TableContents"/>
              <w:bidi w:val="0"/>
              <w:spacing w:before="120" w:after="120"/>
              <w:jc w:val="start"/>
              <w:rPr/>
            </w:pPr>
            <w:r>
              <w:rPr/>
              <w:t>[TALOSAI DATA REQUIRED]</w:t>
            </w:r>
          </w:p>
        </w:tc>
        <w:tc>
          <w:tcPr>
            <w:tcW w:w="3661" w:type="dxa"/>
            <w:tcBorders/>
            <w:vAlign w:val="center"/>
          </w:tcPr>
          <w:p>
            <w:pPr>
              <w:pStyle w:val="TableContents"/>
              <w:bidi w:val="0"/>
              <w:spacing w:before="120" w:after="120"/>
              <w:jc w:val="start"/>
              <w:rPr/>
            </w:pPr>
            <w:r>
              <w:rPr/>
              <w:t>Compare archived signal state with: Bank closure. California regulators closed SVB and appointed the FDIC as receiver.</w:t>
            </w:r>
          </w:p>
        </w:tc>
        <w:tc>
          <w:tcPr>
            <w:tcW w:w="1553" w:type="dxa"/>
            <w:tcBorders/>
            <w:vAlign w:val="center"/>
          </w:tcPr>
          <w:p>
            <w:pPr>
              <w:pStyle w:val="TableContents"/>
              <w:bidi w:val="0"/>
              <w:spacing w:before="120" w:after="120"/>
              <w:jc w:val="start"/>
              <w:rPr/>
            </w:pPr>
            <w:r>
              <w:rPr/>
              <w:t>[DECISION POSTURE TO VALIDATE]</w:t>
            </w:r>
          </w:p>
        </w:tc>
      </w:tr>
      <w:tr>
        <w:trPr/>
        <w:tc>
          <w:tcPr>
            <w:tcW w:w="1188" w:type="dxa"/>
            <w:tcBorders/>
            <w:vAlign w:val="center"/>
          </w:tcPr>
          <w:p>
            <w:pPr>
              <w:pStyle w:val="TableContents"/>
              <w:bidi w:val="0"/>
              <w:spacing w:before="120" w:after="120"/>
              <w:jc w:val="start"/>
              <w:rPr/>
            </w:pPr>
            <w:r>
              <w:rPr/>
              <w:t>12 Mar. 2023</w:t>
            </w:r>
          </w:p>
        </w:tc>
        <w:tc>
          <w:tcPr>
            <w:tcW w:w="1416" w:type="dxa"/>
            <w:tcBorders/>
            <w:vAlign w:val="center"/>
          </w:tcPr>
          <w:p>
            <w:pPr>
              <w:pStyle w:val="TableContents"/>
              <w:bidi w:val="0"/>
              <w:spacing w:before="120" w:after="120"/>
              <w:jc w:val="start"/>
              <w:rPr/>
            </w:pPr>
            <w:r>
              <w:rPr/>
              <w:t>[TALOSAI DATA REQUIRED]</w:t>
            </w:r>
          </w:p>
        </w:tc>
        <w:tc>
          <w:tcPr>
            <w:tcW w:w="3661" w:type="dxa"/>
            <w:tcBorders/>
            <w:vAlign w:val="center"/>
          </w:tcPr>
          <w:p>
            <w:pPr>
              <w:pStyle w:val="TableContents"/>
              <w:bidi w:val="0"/>
              <w:spacing w:before="120" w:after="120"/>
              <w:jc w:val="start"/>
              <w:rPr/>
            </w:pPr>
            <w:r>
              <w:rPr/>
              <w:t>Compare archived signal state with: Systemic-risk response. Treasury, the Federal Reserve, and FDIC announced steps to protect all depositors and support banking-system liquidity.</w:t>
            </w:r>
          </w:p>
        </w:tc>
        <w:tc>
          <w:tcPr>
            <w:tcW w:w="1553" w:type="dxa"/>
            <w:tcBorders/>
            <w:vAlign w:val="center"/>
          </w:tcPr>
          <w:p>
            <w:pPr>
              <w:pStyle w:val="TableContents"/>
              <w:bidi w:val="0"/>
              <w:spacing w:before="120" w:after="120"/>
              <w:jc w:val="start"/>
              <w:rPr/>
            </w:pPr>
            <w:r>
              <w:rPr/>
              <w:t>[DECISION POSTURE TO VALIDATE]</w:t>
            </w:r>
          </w:p>
        </w:tc>
      </w:tr>
      <w:tr>
        <w:trPr/>
        <w:tc>
          <w:tcPr>
            <w:tcW w:w="1188" w:type="dxa"/>
            <w:tcBorders/>
            <w:vAlign w:val="center"/>
          </w:tcPr>
          <w:p>
            <w:pPr>
              <w:pStyle w:val="TableContents"/>
              <w:bidi w:val="0"/>
              <w:spacing w:before="120" w:after="120"/>
              <w:jc w:val="start"/>
              <w:rPr/>
            </w:pPr>
            <w:r>
              <w:rPr/>
              <w:t>26 Mar. 2023</w:t>
            </w:r>
          </w:p>
        </w:tc>
        <w:tc>
          <w:tcPr>
            <w:tcW w:w="1416" w:type="dxa"/>
            <w:tcBorders/>
            <w:vAlign w:val="center"/>
          </w:tcPr>
          <w:p>
            <w:pPr>
              <w:pStyle w:val="TableContents"/>
              <w:bidi w:val="0"/>
              <w:spacing w:before="120" w:after="120"/>
              <w:jc w:val="start"/>
              <w:rPr/>
            </w:pPr>
            <w:r>
              <w:rPr/>
              <w:t>[TALOSAI DATA REQUIRED]</w:t>
            </w:r>
          </w:p>
        </w:tc>
        <w:tc>
          <w:tcPr>
            <w:tcW w:w="3661" w:type="dxa"/>
            <w:tcBorders/>
            <w:vAlign w:val="center"/>
          </w:tcPr>
          <w:p>
            <w:pPr>
              <w:pStyle w:val="TableContents"/>
              <w:bidi w:val="0"/>
              <w:spacing w:before="120" w:after="120"/>
              <w:jc w:val="start"/>
              <w:rPr/>
            </w:pPr>
            <w:r>
              <w:rPr/>
              <w:t>Compare archived signal state with: Resolution transaction. The FDIC announced that First Citizens would assume deposits and loans of Silicon Valley Bridge Bank.</w:t>
            </w:r>
          </w:p>
        </w:tc>
        <w:tc>
          <w:tcPr>
            <w:tcW w:w="1553" w:type="dxa"/>
            <w:tcBorders/>
            <w:vAlign w:val="center"/>
          </w:tcPr>
          <w:p>
            <w:pPr>
              <w:pStyle w:val="TableContents"/>
              <w:bidi w:val="0"/>
              <w:spacing w:before="120" w:after="120"/>
              <w:jc w:val="start"/>
              <w:rPr/>
            </w:pPr>
            <w:r>
              <w:rPr/>
              <w:t>[DECISION POSTURE TO VALIDATE]</w:t>
            </w:r>
          </w:p>
        </w:tc>
      </w:tr>
    </w:tbl>
    <w:p>
      <w:pPr>
        <w:pStyle w:val="Heading2"/>
        <w:bidi w:val="0"/>
        <w:jc w:val="start"/>
        <w:rPr/>
      </w:pPr>
      <w:r>
        <w:rPr/>
        <w:t>Visual Evidence: Output-Level Figures</w:t>
      </w:r>
    </w:p>
    <w:p>
      <w:pPr>
        <w:pStyle w:val="BodyText"/>
        <w:bidi w:val="0"/>
        <w:jc w:val="start"/>
        <w:rPr/>
      </w:pPr>
      <w:r>
        <w:rPr/>
        <w:t>Replace each placeholder with an exported Talosai chart using the same as-of data retained for the quantitative tables. Captions should state only what the figure visibly supports.</w:t>
      </w:r>
    </w:p>
    <w:p>
      <w:pPr>
        <w:pStyle w:val="BodyText"/>
        <w:keepLines/>
        <w:bidi w:val="0"/>
        <w:spacing w:before="200" w:after="200"/>
        <w:ind w:hanging="0" w:start="200" w:end="200"/>
        <w:jc w:val="start"/>
        <w:rPr>
          <w:bdr w:val="dashed" w:sz="6" w:space="10" w:color="8299A2"/>
          <w:shd w:fill="F7F9FA" w:val="clear"/>
        </w:rPr>
      </w:pPr>
      <w:r>
        <w:rPr>
          <w:b/>
          <w:bdr w:val="dashed" w:sz="6" w:space="10" w:color="8299A2"/>
          <w:shd w:fill="F7F9FA" w:val="clear"/>
        </w:rPr>
        <w:t>Figure 1 placeholder.</w:t>
      </w:r>
      <w:r>
        <w:rPr>
          <w:bdr w:val="dashed" w:sz="6" w:space="10" w:color="8299A2"/>
          <w:shd w:fill="F7F9FA" w:val="clear"/>
        </w:rPr>
        <w:t xml:space="preserve"> Integrated Talosai risk versus the 8–12 March event sequence.</w:t>
        <w:br/>
        <w:t>[INSERT VERIFIED TALOSAI VISUAL AND CAPTION]</w:t>
      </w:r>
    </w:p>
    <w:p>
      <w:pPr>
        <w:pStyle w:val="BodyText"/>
        <w:keepLines/>
        <w:bidi w:val="0"/>
        <w:spacing w:before="200" w:after="200"/>
        <w:ind w:hanging="0" w:start="200" w:end="200"/>
        <w:jc w:val="start"/>
        <w:rPr>
          <w:bdr w:val="dashed" w:sz="6" w:space="10" w:color="8299A2"/>
          <w:shd w:fill="F7F9FA" w:val="clear"/>
        </w:rPr>
      </w:pPr>
      <w:r>
        <w:rPr>
          <w:b/>
          <w:bdr w:val="dashed" w:sz="6" w:space="10" w:color="8299A2"/>
          <w:shd w:fill="F7F9FA" w:val="clear"/>
        </w:rPr>
        <w:t>Figure 2 placeholder.</w:t>
      </w:r>
      <w:r>
        <w:rPr>
          <w:bdr w:val="dashed" w:sz="6" w:space="10" w:color="8299A2"/>
          <w:shd w:fill="F7F9FA" w:val="clear"/>
        </w:rPr>
        <w:t xml:space="preserve"> Financial-pressure, public-concern, and OSINT narrative streams showing lead-lag behavior.</w:t>
        <w:br/>
        <w:t>[INSERT VERIFIED TALOSAI VISUAL AND CAPTION]</w:t>
      </w:r>
    </w:p>
    <w:p>
      <w:pPr>
        <w:pStyle w:val="BodyText"/>
        <w:keepLines/>
        <w:bidi w:val="0"/>
        <w:spacing w:before="200" w:after="200"/>
        <w:ind w:hanging="0" w:start="200" w:end="200"/>
        <w:jc w:val="start"/>
        <w:rPr>
          <w:bdr w:val="dashed" w:sz="6" w:space="10" w:color="8299A2"/>
          <w:shd w:fill="F7F9FA" w:val="clear"/>
        </w:rPr>
      </w:pPr>
      <w:r>
        <w:rPr>
          <w:b/>
          <w:bdr w:val="dashed" w:sz="6" w:space="10" w:color="8299A2"/>
          <w:shd w:fill="F7F9FA" w:val="clear"/>
        </w:rPr>
        <w:t>Figure 3 placeholder.</w:t>
      </w:r>
      <w:r>
        <w:rPr>
          <w:bdr w:val="dashed" w:sz="6" w:space="10" w:color="8299A2"/>
          <w:shd w:fill="F7F9FA" w:val="clear"/>
        </w:rPr>
        <w:t xml:space="preserve"> Banking/finance and governance domain pressure across the test window.</w:t>
        <w:br/>
        <w:t>[INSERT VERIFIED TALOSAI VISUAL AND CAPTION]</w:t>
      </w:r>
    </w:p>
    <w:p>
      <w:pPr>
        <w:pStyle w:val="BodyText"/>
        <w:keepLines/>
        <w:bidi w:val="0"/>
        <w:spacing w:before="200" w:after="200"/>
        <w:ind w:hanging="0" w:start="200" w:end="200"/>
        <w:jc w:val="start"/>
        <w:rPr>
          <w:bdr w:val="dashed" w:sz="6" w:space="10" w:color="8299A2"/>
          <w:shd w:fill="F7F9FA" w:val="clear"/>
        </w:rPr>
      </w:pPr>
      <w:r>
        <w:rPr>
          <w:b/>
          <w:bdr w:val="dashed" w:sz="6" w:space="10" w:color="8299A2"/>
          <w:shd w:fill="F7F9FA" w:val="clear"/>
        </w:rPr>
        <w:t>Figure 4 placeholder.</w:t>
      </w:r>
      <w:r>
        <w:rPr>
          <w:bdr w:val="dashed" w:sz="6" w:space="10" w:color="8299A2"/>
          <w:shd w:fill="F7F9FA" w:val="clear"/>
        </w:rPr>
        <w:t xml:space="preserve"> Public-search behavior related to bank safety, withdrawals, payroll, and deposit insurance.</w:t>
        <w:br/>
        <w:t>[INSERT VERIFIED TALOSAI VISUAL AND CAPTION]</w:t>
      </w:r>
    </w:p>
    <w:p>
      <w:pPr>
        <w:pStyle w:val="BodyText"/>
        <w:keepLines/>
        <w:bidi w:val="0"/>
        <w:spacing w:before="200" w:after="200"/>
        <w:ind w:hanging="0" w:start="200" w:end="200"/>
        <w:jc w:val="start"/>
        <w:rPr>
          <w:bdr w:val="dashed" w:sz="6" w:space="10" w:color="8299A2"/>
          <w:shd w:fill="F7F9FA" w:val="clear"/>
        </w:rPr>
      </w:pPr>
      <w:r>
        <w:rPr>
          <w:b/>
          <w:bdr w:val="dashed" w:sz="6" w:space="10" w:color="8299A2"/>
          <w:shd w:fill="F7F9FA" w:val="clear"/>
        </w:rPr>
        <w:t>Figure 5 placeholder.</w:t>
      </w:r>
      <w:r>
        <w:rPr>
          <w:bdr w:val="dashed" w:sz="6" w:space="10" w:color="8299A2"/>
          <w:shd w:fill="F7F9FA" w:val="clear"/>
        </w:rPr>
        <w:t xml:space="preserve"> Domestic/external or sector-source narrative composition.</w:t>
        <w:br/>
        <w:t>[INSERT VERIFIED TALOSAI VISUAL AND CAPTION]</w:t>
      </w:r>
    </w:p>
    <w:p>
      <w:pPr>
        <w:pStyle w:val="BodyText"/>
        <w:keepLines/>
        <w:bidi w:val="0"/>
        <w:spacing w:before="200" w:after="200"/>
        <w:ind w:hanging="0" w:start="200" w:end="200"/>
        <w:jc w:val="start"/>
        <w:rPr>
          <w:bdr w:val="dashed" w:sz="6" w:space="10" w:color="8299A2"/>
          <w:shd w:fill="F7F9FA" w:val="clear"/>
        </w:rPr>
      </w:pPr>
      <w:r>
        <w:rPr>
          <w:b/>
          <w:bdr w:val="dashed" w:sz="6" w:space="10" w:color="8299A2"/>
          <w:shd w:fill="F7F9FA" w:val="clear"/>
        </w:rPr>
        <w:t>Figure 6 placeholder.</w:t>
      </w:r>
      <w:r>
        <w:rPr>
          <w:bdr w:val="dashed" w:sz="6" w:space="10" w:color="8299A2"/>
          <w:shd w:fill="F7F9FA" w:val="clear"/>
        </w:rPr>
        <w:t xml:space="preserve"> Cross-stream convergence before, during, and after the bank run.</w:t>
        <w:br/>
        <w:t>[INSERT VERIFIED TALOSAI VISUAL AND CAPTION]</w:t>
      </w:r>
    </w:p>
    <w:p>
      <w:pPr>
        <w:pStyle w:val="Heading2"/>
        <w:bidi w:val="0"/>
        <w:jc w:val="start"/>
        <w:rPr/>
      </w:pPr>
      <w:r>
        <w:rPr/>
        <w:t>Performance Against Expected Indicators</w:t>
      </w:r>
    </w:p>
    <w:p>
      <w:pPr>
        <w:pStyle w:val="BodyText"/>
        <w:bidi w:val="0"/>
        <w:jc w:val="start"/>
        <w:rPr/>
      </w:pPr>
      <w:r>
        <w:rPr/>
        <w:t>The table below identifies the expected analytical tests. “Expected” does not mean “observed.” Findings must be changed to strong, moderate, weak, non-confirming, or unavailable only after the underlying output is reviewed.</w:t>
      </w:r>
    </w:p>
    <w:tbl>
      <w:tblPr>
        <w:tblW w:w="7818" w:type="dxa"/>
        <w:jc w:val="start"/>
        <w:tblInd w:w="0" w:type="dxa"/>
        <w:tblLayout w:type="fixed"/>
        <w:tblCellMar>
          <w:top w:w="28" w:type="dxa"/>
          <w:start w:w="28" w:type="dxa"/>
          <w:bottom w:w="28" w:type="dxa"/>
          <w:end w:w="28" w:type="dxa"/>
        </w:tblCellMar>
      </w:tblPr>
      <w:tblGrid>
        <w:gridCol w:w="1673"/>
        <w:gridCol w:w="1719"/>
        <w:gridCol w:w="2211"/>
        <w:gridCol w:w="2215"/>
      </w:tblGrid>
      <w:tr>
        <w:trPr>
          <w:tblHeader w:val="true"/>
        </w:trPr>
        <w:tc>
          <w:tcPr>
            <w:tcW w:w="1673" w:type="dxa"/>
            <w:tcBorders/>
            <w:vAlign w:val="center"/>
          </w:tcPr>
          <w:p>
            <w:pPr>
              <w:pStyle w:val="TableHeading"/>
              <w:suppressLineNumbers/>
              <w:shd w:fill="133B4A" w:val="clear"/>
              <w:bidi w:val="0"/>
              <w:spacing w:before="120" w:after="120"/>
              <w:jc w:val="start"/>
              <w:rPr/>
            </w:pPr>
            <w:r>
              <w:rPr/>
              <w:t>Indicator</w:t>
            </w:r>
          </w:p>
        </w:tc>
        <w:tc>
          <w:tcPr>
            <w:tcW w:w="1719" w:type="dxa"/>
            <w:tcBorders/>
            <w:vAlign w:val="center"/>
          </w:tcPr>
          <w:p>
            <w:pPr>
              <w:pStyle w:val="TableHeading"/>
              <w:suppressLineNumbers/>
              <w:shd w:fill="133B4A" w:val="clear"/>
              <w:bidi w:val="0"/>
              <w:spacing w:before="120" w:after="120"/>
              <w:jc w:val="start"/>
              <w:rPr/>
            </w:pPr>
            <w:r>
              <w:rPr/>
              <w:t>Pre-analysis expectation</w:t>
            </w:r>
          </w:p>
        </w:tc>
        <w:tc>
          <w:tcPr>
            <w:tcW w:w="2211" w:type="dxa"/>
            <w:tcBorders/>
            <w:vAlign w:val="center"/>
          </w:tcPr>
          <w:p>
            <w:pPr>
              <w:pStyle w:val="TableHeading"/>
              <w:suppressLineNumbers/>
              <w:shd w:fill="133B4A" w:val="clear"/>
              <w:bidi w:val="0"/>
              <w:spacing w:before="120" w:after="120"/>
              <w:jc w:val="start"/>
              <w:rPr/>
            </w:pPr>
            <w:r>
              <w:rPr/>
              <w:t>Evidence test</w:t>
            </w:r>
          </w:p>
        </w:tc>
        <w:tc>
          <w:tcPr>
            <w:tcW w:w="2215" w:type="dxa"/>
            <w:tcBorders/>
            <w:vAlign w:val="center"/>
          </w:tcPr>
          <w:p>
            <w:pPr>
              <w:pStyle w:val="TableHeading"/>
              <w:suppressLineNumbers/>
              <w:shd w:fill="133B4A" w:val="clear"/>
              <w:bidi w:val="0"/>
              <w:spacing w:before="120" w:after="120"/>
              <w:jc w:val="start"/>
              <w:rPr/>
            </w:pPr>
            <w:r>
              <w:rPr/>
              <w:t>Potential decision value</w:t>
            </w:r>
          </w:p>
        </w:tc>
      </w:tr>
      <w:tr>
        <w:trPr/>
        <w:tc>
          <w:tcPr>
            <w:tcW w:w="1673" w:type="dxa"/>
            <w:tcBorders/>
            <w:vAlign w:val="center"/>
          </w:tcPr>
          <w:p>
            <w:pPr>
              <w:pStyle w:val="TableContents"/>
              <w:bidi w:val="0"/>
              <w:spacing w:before="120" w:after="120"/>
              <w:jc w:val="start"/>
              <w:rPr/>
            </w:pPr>
            <w:r>
              <w:rPr/>
              <w:t>Financial/market pressure</w:t>
            </w:r>
          </w:p>
        </w:tc>
        <w:tc>
          <w:tcPr>
            <w:tcW w:w="1719" w:type="dxa"/>
            <w:tcBorders/>
            <w:vAlign w:val="center"/>
          </w:tcPr>
          <w:p>
            <w:pPr>
              <w:pStyle w:val="TableContents"/>
              <w:bidi w:val="0"/>
              <w:spacing w:before="120" w:after="120"/>
              <w:jc w:val="start"/>
              <w:rPr/>
            </w:pPr>
            <w:r>
              <w:rPr/>
              <w:t>Expected strongest signal</w:t>
            </w:r>
          </w:p>
        </w:tc>
        <w:tc>
          <w:tcPr>
            <w:tcW w:w="2211" w:type="dxa"/>
            <w:tcBorders/>
            <w:vAlign w:val="center"/>
          </w:tcPr>
          <w:p>
            <w:pPr>
              <w:pStyle w:val="TableContents"/>
              <w:bidi w:val="0"/>
              <w:spacing w:before="120" w:after="120"/>
              <w:jc w:val="start"/>
              <w:rPr/>
            </w:pPr>
            <w:r>
              <w:rPr/>
              <w:t>Evaluate bank-equity stress, rate exposure, sector financing conditions, and any available currency/financial proxy.</w:t>
            </w:r>
          </w:p>
        </w:tc>
        <w:tc>
          <w:tcPr>
            <w:tcW w:w="2215" w:type="dxa"/>
            <w:tcBorders/>
            <w:vAlign w:val="center"/>
          </w:tcPr>
          <w:p>
            <w:pPr>
              <w:pStyle w:val="TableContents"/>
              <w:bidi w:val="0"/>
              <w:spacing w:before="120" w:after="120"/>
              <w:jc w:val="start"/>
              <w:rPr/>
            </w:pPr>
            <w:r>
              <w:rPr/>
              <w:t>Treasury exposure, liquidity, counterparty, and concentration review.</w:t>
            </w:r>
          </w:p>
        </w:tc>
      </w:tr>
      <w:tr>
        <w:trPr/>
        <w:tc>
          <w:tcPr>
            <w:tcW w:w="1673" w:type="dxa"/>
            <w:tcBorders/>
            <w:vAlign w:val="center"/>
          </w:tcPr>
          <w:p>
            <w:pPr>
              <w:pStyle w:val="TableContents"/>
              <w:bidi w:val="0"/>
              <w:spacing w:before="120" w:after="120"/>
              <w:jc w:val="start"/>
              <w:rPr/>
            </w:pPr>
            <w:r>
              <w:rPr/>
              <w:t>Public concern/search behavior</w:t>
            </w:r>
          </w:p>
        </w:tc>
        <w:tc>
          <w:tcPr>
            <w:tcW w:w="1719" w:type="dxa"/>
            <w:tcBorders/>
            <w:vAlign w:val="center"/>
          </w:tcPr>
          <w:p>
            <w:pPr>
              <w:pStyle w:val="TableContents"/>
              <w:bidi w:val="0"/>
              <w:spacing w:before="120" w:after="120"/>
              <w:jc w:val="start"/>
              <w:rPr/>
            </w:pPr>
            <w:r>
              <w:rPr/>
              <w:t>Potential rapid lead</w:t>
            </w:r>
          </w:p>
        </w:tc>
        <w:tc>
          <w:tcPr>
            <w:tcW w:w="2211" w:type="dxa"/>
            <w:tcBorders/>
            <w:vAlign w:val="center"/>
          </w:tcPr>
          <w:p>
            <w:pPr>
              <w:pStyle w:val="TableContents"/>
              <w:bidi w:val="0"/>
              <w:spacing w:before="120" w:after="120"/>
              <w:jc w:val="start"/>
              <w:rPr/>
            </w:pPr>
            <w:r>
              <w:rPr/>
              <w:t>Look for abrupt increases in searches related to SVB, uninsured deposits, bank safety, withdrawals, payroll, and FDIC protection.</w:t>
            </w:r>
          </w:p>
        </w:tc>
        <w:tc>
          <w:tcPr>
            <w:tcW w:w="2215" w:type="dxa"/>
            <w:tcBorders/>
            <w:vAlign w:val="center"/>
          </w:tcPr>
          <w:p>
            <w:pPr>
              <w:pStyle w:val="TableContents"/>
              <w:bidi w:val="0"/>
              <w:spacing w:before="120" w:after="120"/>
              <w:jc w:val="start"/>
              <w:rPr/>
            </w:pPr>
            <w:r>
              <w:rPr/>
              <w:t>Communications, payroll and operating-cash contingency.</w:t>
            </w:r>
          </w:p>
        </w:tc>
      </w:tr>
      <w:tr>
        <w:trPr/>
        <w:tc>
          <w:tcPr>
            <w:tcW w:w="1673" w:type="dxa"/>
            <w:tcBorders/>
            <w:vAlign w:val="center"/>
          </w:tcPr>
          <w:p>
            <w:pPr>
              <w:pStyle w:val="TableContents"/>
              <w:bidi w:val="0"/>
              <w:spacing w:before="120" w:after="120"/>
              <w:jc w:val="start"/>
              <w:rPr/>
            </w:pPr>
            <w:r>
              <w:rPr/>
              <w:t>Narrative pressure</w:t>
            </w:r>
          </w:p>
        </w:tc>
        <w:tc>
          <w:tcPr>
            <w:tcW w:w="1719" w:type="dxa"/>
            <w:tcBorders/>
            <w:vAlign w:val="center"/>
          </w:tcPr>
          <w:p>
            <w:pPr>
              <w:pStyle w:val="TableContents"/>
              <w:bidi w:val="0"/>
              <w:spacing w:before="120" w:after="120"/>
              <w:jc w:val="start"/>
              <w:rPr/>
            </w:pPr>
            <w:r>
              <w:rPr/>
              <w:t>Expected sharp event-window acceleration</w:t>
            </w:r>
          </w:p>
        </w:tc>
        <w:tc>
          <w:tcPr>
            <w:tcW w:w="2211" w:type="dxa"/>
            <w:tcBorders/>
            <w:vAlign w:val="center"/>
          </w:tcPr>
          <w:p>
            <w:pPr>
              <w:pStyle w:val="TableContents"/>
              <w:bidi w:val="0"/>
              <w:spacing w:before="120" w:after="120"/>
              <w:jc w:val="start"/>
              <w:rPr/>
            </w:pPr>
            <w:r>
              <w:rPr/>
              <w:t>Measure whether financial and governance/regulatory narratives broadened beyond isolated bank coverage.</w:t>
            </w:r>
          </w:p>
        </w:tc>
        <w:tc>
          <w:tcPr>
            <w:tcW w:w="2215" w:type="dxa"/>
            <w:tcBorders/>
            <w:vAlign w:val="center"/>
          </w:tcPr>
          <w:p>
            <w:pPr>
              <w:pStyle w:val="TableContents"/>
              <w:bidi w:val="0"/>
              <w:spacing w:before="120" w:after="120"/>
              <w:jc w:val="start"/>
              <w:rPr/>
            </w:pPr>
            <w:r>
              <w:rPr/>
              <w:t>Escalation from watch to systemic-financial alert.</w:t>
            </w:r>
          </w:p>
        </w:tc>
      </w:tr>
      <w:tr>
        <w:trPr/>
        <w:tc>
          <w:tcPr>
            <w:tcW w:w="1673" w:type="dxa"/>
            <w:tcBorders/>
            <w:vAlign w:val="center"/>
          </w:tcPr>
          <w:p>
            <w:pPr>
              <w:pStyle w:val="TableContents"/>
              <w:bidi w:val="0"/>
              <w:spacing w:before="120" w:after="120"/>
              <w:jc w:val="start"/>
              <w:rPr/>
            </w:pPr>
            <w:r>
              <w:rPr/>
              <w:t>Governance/regulatory signal</w:t>
            </w:r>
          </w:p>
        </w:tc>
        <w:tc>
          <w:tcPr>
            <w:tcW w:w="1719" w:type="dxa"/>
            <w:tcBorders/>
            <w:vAlign w:val="center"/>
          </w:tcPr>
          <w:p>
            <w:pPr>
              <w:pStyle w:val="TableContents"/>
              <w:bidi w:val="0"/>
              <w:spacing w:before="120" w:after="120"/>
              <w:jc w:val="start"/>
              <w:rPr/>
            </w:pPr>
            <w:r>
              <w:rPr/>
              <w:t>Likely lagging or confirming</w:t>
            </w:r>
          </w:p>
        </w:tc>
        <w:tc>
          <w:tcPr>
            <w:tcW w:w="2211" w:type="dxa"/>
            <w:tcBorders/>
            <w:vAlign w:val="center"/>
          </w:tcPr>
          <w:p>
            <w:pPr>
              <w:pStyle w:val="TableContents"/>
              <w:bidi w:val="0"/>
              <w:spacing w:before="120" w:after="120"/>
              <w:jc w:val="start"/>
              <w:rPr/>
            </w:pPr>
            <w:r>
              <w:rPr/>
              <w:t>Track supervisory, management, risk-control, and policy-response narratives.</w:t>
            </w:r>
          </w:p>
        </w:tc>
        <w:tc>
          <w:tcPr>
            <w:tcW w:w="2215" w:type="dxa"/>
            <w:tcBorders/>
            <w:vAlign w:val="center"/>
          </w:tcPr>
          <w:p>
            <w:pPr>
              <w:pStyle w:val="TableContents"/>
              <w:bidi w:val="0"/>
              <w:spacing w:before="120" w:after="120"/>
              <w:jc w:val="start"/>
              <w:rPr/>
            </w:pPr>
            <w:r>
              <w:rPr/>
              <w:t>Board-level reporting and policy interpretation.</w:t>
            </w:r>
          </w:p>
        </w:tc>
      </w:tr>
      <w:tr>
        <w:trPr/>
        <w:tc>
          <w:tcPr>
            <w:tcW w:w="1673" w:type="dxa"/>
            <w:tcBorders/>
            <w:vAlign w:val="center"/>
          </w:tcPr>
          <w:p>
            <w:pPr>
              <w:pStyle w:val="TableContents"/>
              <w:bidi w:val="0"/>
              <w:spacing w:before="120" w:after="120"/>
              <w:jc w:val="start"/>
              <w:rPr/>
            </w:pPr>
            <w:r>
              <w:rPr/>
              <w:t>Cross-domain convergence</w:t>
            </w:r>
          </w:p>
        </w:tc>
        <w:tc>
          <w:tcPr>
            <w:tcW w:w="1719" w:type="dxa"/>
            <w:tcBorders/>
            <w:vAlign w:val="center"/>
          </w:tcPr>
          <w:p>
            <w:pPr>
              <w:pStyle w:val="TableContents"/>
              <w:bidi w:val="0"/>
              <w:spacing w:before="120" w:after="120"/>
              <w:jc w:val="start"/>
              <w:rPr/>
            </w:pPr>
            <w:r>
              <w:rPr/>
              <w:t>Core validation test</w:t>
            </w:r>
          </w:p>
        </w:tc>
        <w:tc>
          <w:tcPr>
            <w:tcW w:w="2211" w:type="dxa"/>
            <w:tcBorders/>
            <w:vAlign w:val="center"/>
          </w:tcPr>
          <w:p>
            <w:pPr>
              <w:pStyle w:val="TableContents"/>
              <w:bidi w:val="0"/>
              <w:spacing w:before="120" w:after="120"/>
              <w:jc w:val="start"/>
              <w:rPr/>
            </w:pPr>
            <w:r>
              <w:rPr/>
              <w:t>Determine when market, public, narrative, and governance indicators became mutually reinforcing.</w:t>
            </w:r>
          </w:p>
        </w:tc>
        <w:tc>
          <w:tcPr>
            <w:tcW w:w="2215" w:type="dxa"/>
            <w:tcBorders/>
            <w:vAlign w:val="center"/>
          </w:tcPr>
          <w:p>
            <w:pPr>
              <w:pStyle w:val="TableContents"/>
              <w:bidi w:val="0"/>
              <w:spacing w:before="120" w:after="120"/>
              <w:jc w:val="start"/>
              <w:rPr/>
            </w:pPr>
            <w:r>
              <w:rPr/>
              <w:t>Time exposure reduction and continuity decisions.</w:t>
            </w:r>
          </w:p>
        </w:tc>
      </w:tr>
    </w:tbl>
    <w:p>
      <w:pPr>
        <w:pStyle w:val="Heading2"/>
        <w:bidi w:val="0"/>
        <w:jc w:val="start"/>
        <w:rPr/>
      </w:pPr>
      <w:r>
        <w:rPr/>
        <w:t>Selected Quantified Evidence</w:t>
      </w:r>
    </w:p>
    <w:p>
      <w:pPr>
        <w:pStyle w:val="BodyText"/>
        <w:bidi w:val="0"/>
        <w:jc w:val="start"/>
        <w:rPr/>
      </w:pPr>
      <w:r>
        <w:rPr/>
        <w:t>Populate this section directly from archived Talosai exports. Retain dates, units, aggregation periods, and any missing-data caveats. Do not use current dashboard values as substitutes for historical as-of outputs.</w:t>
      </w:r>
    </w:p>
    <w:tbl>
      <w:tblPr>
        <w:tblW w:w="7818" w:type="dxa"/>
        <w:jc w:val="start"/>
        <w:tblInd w:w="0" w:type="dxa"/>
        <w:tblLayout w:type="fixed"/>
        <w:tblCellMar>
          <w:top w:w="28" w:type="dxa"/>
          <w:start w:w="28" w:type="dxa"/>
          <w:bottom w:w="28" w:type="dxa"/>
          <w:end w:w="28" w:type="dxa"/>
        </w:tblCellMar>
      </w:tblPr>
      <w:tblGrid>
        <w:gridCol w:w="2000"/>
        <w:gridCol w:w="1309"/>
        <w:gridCol w:w="1435"/>
        <w:gridCol w:w="1256"/>
        <w:gridCol w:w="1818"/>
      </w:tblGrid>
      <w:tr>
        <w:trPr>
          <w:tblHeader w:val="true"/>
        </w:trPr>
        <w:tc>
          <w:tcPr>
            <w:tcW w:w="2000" w:type="dxa"/>
            <w:tcBorders/>
            <w:vAlign w:val="center"/>
          </w:tcPr>
          <w:p>
            <w:pPr>
              <w:pStyle w:val="TableHeading"/>
              <w:suppressLineNumbers/>
              <w:shd w:fill="133B4A" w:val="clear"/>
              <w:bidi w:val="0"/>
              <w:spacing w:before="120" w:after="120"/>
              <w:jc w:val="start"/>
              <w:rPr/>
            </w:pPr>
            <w:r>
              <w:rPr/>
              <w:t>Evidence point</w:t>
            </w:r>
          </w:p>
        </w:tc>
        <w:tc>
          <w:tcPr>
            <w:tcW w:w="1309" w:type="dxa"/>
            <w:tcBorders/>
            <w:vAlign w:val="center"/>
          </w:tcPr>
          <w:p>
            <w:pPr>
              <w:pStyle w:val="TableHeading"/>
              <w:suppressLineNumbers/>
              <w:shd w:fill="133B4A" w:val="clear"/>
              <w:bidi w:val="0"/>
              <w:spacing w:before="120" w:after="120"/>
              <w:jc w:val="start"/>
              <w:rPr/>
            </w:pPr>
            <w:r>
              <w:rPr/>
              <w:t>Baseline</w:t>
            </w:r>
          </w:p>
        </w:tc>
        <w:tc>
          <w:tcPr>
            <w:tcW w:w="1435" w:type="dxa"/>
            <w:tcBorders/>
            <w:vAlign w:val="center"/>
          </w:tcPr>
          <w:p>
            <w:pPr>
              <w:pStyle w:val="TableHeading"/>
              <w:suppressLineNumbers/>
              <w:shd w:fill="133B4A" w:val="clear"/>
              <w:bidi w:val="0"/>
              <w:spacing w:before="120" w:after="120"/>
              <w:jc w:val="start"/>
              <w:rPr/>
            </w:pPr>
            <w:r>
              <w:rPr/>
              <w:t>Watch / early change</w:t>
            </w:r>
          </w:p>
        </w:tc>
        <w:tc>
          <w:tcPr>
            <w:tcW w:w="1256" w:type="dxa"/>
            <w:tcBorders/>
            <w:vAlign w:val="center"/>
          </w:tcPr>
          <w:p>
            <w:pPr>
              <w:pStyle w:val="TableHeading"/>
              <w:suppressLineNumbers/>
              <w:shd w:fill="133B4A" w:val="clear"/>
              <w:bidi w:val="0"/>
              <w:spacing w:before="120" w:after="120"/>
              <w:jc w:val="start"/>
              <w:rPr/>
            </w:pPr>
            <w:r>
              <w:rPr/>
              <w:t>Event window</w:t>
            </w:r>
          </w:p>
        </w:tc>
        <w:tc>
          <w:tcPr>
            <w:tcW w:w="1818" w:type="dxa"/>
            <w:tcBorders/>
            <w:vAlign w:val="center"/>
          </w:tcPr>
          <w:p>
            <w:pPr>
              <w:pStyle w:val="TableHeading"/>
              <w:suppressLineNumbers/>
              <w:shd w:fill="133B4A" w:val="clear"/>
              <w:bidi w:val="0"/>
              <w:spacing w:before="120" w:after="120"/>
              <w:jc w:val="start"/>
              <w:rPr/>
            </w:pPr>
            <w:r>
              <w:rPr/>
              <w:t>Later confirmation</w:t>
            </w:r>
          </w:p>
        </w:tc>
      </w:tr>
      <w:tr>
        <w:trPr/>
        <w:tc>
          <w:tcPr>
            <w:tcW w:w="2000" w:type="dxa"/>
            <w:tcBorders/>
            <w:vAlign w:val="center"/>
          </w:tcPr>
          <w:p>
            <w:pPr>
              <w:pStyle w:val="TableContents"/>
              <w:bidi w:val="0"/>
              <w:spacing w:before="120" w:after="120"/>
              <w:jc w:val="start"/>
              <w:rPr/>
            </w:pPr>
            <w:r>
              <w:rPr/>
              <w:t>Integrated Talosai risk index</w:t>
            </w:r>
          </w:p>
        </w:tc>
        <w:tc>
          <w:tcPr>
            <w:tcW w:w="1309" w:type="dxa"/>
            <w:tcBorders/>
            <w:vAlign w:val="center"/>
          </w:tcPr>
          <w:p>
            <w:pPr>
              <w:pStyle w:val="TableContents"/>
              <w:bidi w:val="0"/>
              <w:spacing w:before="120" w:after="120"/>
              <w:jc w:val="start"/>
              <w:rPr/>
            </w:pPr>
            <w:r>
              <w:rPr/>
              <w:t>[VALUE / DATE]</w:t>
            </w:r>
          </w:p>
        </w:tc>
        <w:tc>
          <w:tcPr>
            <w:tcW w:w="1435" w:type="dxa"/>
            <w:tcBorders/>
            <w:vAlign w:val="center"/>
          </w:tcPr>
          <w:p>
            <w:pPr>
              <w:pStyle w:val="TableContents"/>
              <w:bidi w:val="0"/>
              <w:spacing w:before="120" w:after="120"/>
              <w:jc w:val="start"/>
              <w:rPr/>
            </w:pPr>
            <w:r>
              <w:rPr/>
              <w:t>[VALUE / DATE]</w:t>
            </w:r>
          </w:p>
        </w:tc>
        <w:tc>
          <w:tcPr>
            <w:tcW w:w="1256" w:type="dxa"/>
            <w:tcBorders/>
            <w:vAlign w:val="center"/>
          </w:tcPr>
          <w:p>
            <w:pPr>
              <w:pStyle w:val="TableContents"/>
              <w:bidi w:val="0"/>
              <w:spacing w:before="120" w:after="120"/>
              <w:jc w:val="start"/>
              <w:rPr/>
            </w:pPr>
            <w:r>
              <w:rPr/>
              <w:t>[VALUE / DATE]</w:t>
            </w:r>
          </w:p>
        </w:tc>
        <w:tc>
          <w:tcPr>
            <w:tcW w:w="1818" w:type="dxa"/>
            <w:tcBorders/>
            <w:vAlign w:val="center"/>
          </w:tcPr>
          <w:p>
            <w:pPr>
              <w:pStyle w:val="TableContents"/>
              <w:bidi w:val="0"/>
              <w:spacing w:before="120" w:after="120"/>
              <w:jc w:val="start"/>
              <w:rPr/>
            </w:pPr>
            <w:r>
              <w:rPr/>
              <w:t>[VALUE / DATE]</w:t>
            </w:r>
          </w:p>
        </w:tc>
      </w:tr>
      <w:tr>
        <w:trPr/>
        <w:tc>
          <w:tcPr>
            <w:tcW w:w="2000" w:type="dxa"/>
            <w:tcBorders/>
            <w:vAlign w:val="center"/>
          </w:tcPr>
          <w:p>
            <w:pPr>
              <w:pStyle w:val="TableContents"/>
              <w:bidi w:val="0"/>
              <w:spacing w:before="120" w:after="120"/>
              <w:jc w:val="start"/>
              <w:rPr/>
            </w:pPr>
            <w:r>
              <w:rPr/>
              <w:t>OSINT narrative pressure</w:t>
            </w:r>
          </w:p>
        </w:tc>
        <w:tc>
          <w:tcPr>
            <w:tcW w:w="1309" w:type="dxa"/>
            <w:tcBorders/>
            <w:vAlign w:val="center"/>
          </w:tcPr>
          <w:p>
            <w:pPr>
              <w:pStyle w:val="TableContents"/>
              <w:bidi w:val="0"/>
              <w:spacing w:before="120" w:after="120"/>
              <w:jc w:val="start"/>
              <w:rPr/>
            </w:pPr>
            <w:r>
              <w:rPr/>
              <w:t>[VALUE / DATE]</w:t>
            </w:r>
          </w:p>
        </w:tc>
        <w:tc>
          <w:tcPr>
            <w:tcW w:w="1435" w:type="dxa"/>
            <w:tcBorders/>
            <w:vAlign w:val="center"/>
          </w:tcPr>
          <w:p>
            <w:pPr>
              <w:pStyle w:val="TableContents"/>
              <w:bidi w:val="0"/>
              <w:spacing w:before="120" w:after="120"/>
              <w:jc w:val="start"/>
              <w:rPr/>
            </w:pPr>
            <w:r>
              <w:rPr/>
              <w:t>[VALUE / DATE]</w:t>
            </w:r>
          </w:p>
        </w:tc>
        <w:tc>
          <w:tcPr>
            <w:tcW w:w="1256" w:type="dxa"/>
            <w:tcBorders/>
            <w:vAlign w:val="center"/>
          </w:tcPr>
          <w:p>
            <w:pPr>
              <w:pStyle w:val="TableContents"/>
              <w:bidi w:val="0"/>
              <w:spacing w:before="120" w:after="120"/>
              <w:jc w:val="start"/>
              <w:rPr/>
            </w:pPr>
            <w:r>
              <w:rPr/>
              <w:t>[VALUE / DATE]</w:t>
            </w:r>
          </w:p>
        </w:tc>
        <w:tc>
          <w:tcPr>
            <w:tcW w:w="1818" w:type="dxa"/>
            <w:tcBorders/>
            <w:vAlign w:val="center"/>
          </w:tcPr>
          <w:p>
            <w:pPr>
              <w:pStyle w:val="TableContents"/>
              <w:bidi w:val="0"/>
              <w:spacing w:before="120" w:after="120"/>
              <w:jc w:val="start"/>
              <w:rPr/>
            </w:pPr>
            <w:r>
              <w:rPr/>
              <w:t>[VALUE / DATE]</w:t>
            </w:r>
          </w:p>
        </w:tc>
      </w:tr>
      <w:tr>
        <w:trPr/>
        <w:tc>
          <w:tcPr>
            <w:tcW w:w="2000" w:type="dxa"/>
            <w:tcBorders/>
            <w:vAlign w:val="center"/>
          </w:tcPr>
          <w:p>
            <w:pPr>
              <w:pStyle w:val="TableContents"/>
              <w:bidi w:val="0"/>
              <w:spacing w:before="120" w:after="120"/>
              <w:jc w:val="start"/>
              <w:rPr/>
            </w:pPr>
            <w:r>
              <w:rPr/>
              <w:t>Public concern/search behavior</w:t>
            </w:r>
          </w:p>
        </w:tc>
        <w:tc>
          <w:tcPr>
            <w:tcW w:w="1309" w:type="dxa"/>
            <w:tcBorders/>
            <w:vAlign w:val="center"/>
          </w:tcPr>
          <w:p>
            <w:pPr>
              <w:pStyle w:val="TableContents"/>
              <w:bidi w:val="0"/>
              <w:spacing w:before="120" w:after="120"/>
              <w:jc w:val="start"/>
              <w:rPr/>
            </w:pPr>
            <w:r>
              <w:rPr/>
              <w:t>[VALUE / DATE]</w:t>
            </w:r>
          </w:p>
        </w:tc>
        <w:tc>
          <w:tcPr>
            <w:tcW w:w="1435" w:type="dxa"/>
            <w:tcBorders/>
            <w:vAlign w:val="center"/>
          </w:tcPr>
          <w:p>
            <w:pPr>
              <w:pStyle w:val="TableContents"/>
              <w:bidi w:val="0"/>
              <w:spacing w:before="120" w:after="120"/>
              <w:jc w:val="start"/>
              <w:rPr/>
            </w:pPr>
            <w:r>
              <w:rPr/>
              <w:t>[VALUE / DATE]</w:t>
            </w:r>
          </w:p>
        </w:tc>
        <w:tc>
          <w:tcPr>
            <w:tcW w:w="1256" w:type="dxa"/>
            <w:tcBorders/>
            <w:vAlign w:val="center"/>
          </w:tcPr>
          <w:p>
            <w:pPr>
              <w:pStyle w:val="TableContents"/>
              <w:bidi w:val="0"/>
              <w:spacing w:before="120" w:after="120"/>
              <w:jc w:val="start"/>
              <w:rPr/>
            </w:pPr>
            <w:r>
              <w:rPr/>
              <w:t>[VALUE / DATE]</w:t>
            </w:r>
          </w:p>
        </w:tc>
        <w:tc>
          <w:tcPr>
            <w:tcW w:w="1818" w:type="dxa"/>
            <w:tcBorders/>
            <w:vAlign w:val="center"/>
          </w:tcPr>
          <w:p>
            <w:pPr>
              <w:pStyle w:val="TableContents"/>
              <w:bidi w:val="0"/>
              <w:spacing w:before="120" w:after="120"/>
              <w:jc w:val="start"/>
              <w:rPr/>
            </w:pPr>
            <w:r>
              <w:rPr/>
              <w:t>[VALUE / DATE]</w:t>
            </w:r>
          </w:p>
        </w:tc>
      </w:tr>
      <w:tr>
        <w:trPr/>
        <w:tc>
          <w:tcPr>
            <w:tcW w:w="2000" w:type="dxa"/>
            <w:tcBorders/>
            <w:vAlign w:val="center"/>
          </w:tcPr>
          <w:p>
            <w:pPr>
              <w:pStyle w:val="TableContents"/>
              <w:bidi w:val="0"/>
              <w:spacing w:before="120" w:after="120"/>
              <w:jc w:val="start"/>
              <w:rPr/>
            </w:pPr>
            <w:r>
              <w:rPr/>
              <w:t>Financial/currency pressure</w:t>
            </w:r>
          </w:p>
        </w:tc>
        <w:tc>
          <w:tcPr>
            <w:tcW w:w="1309" w:type="dxa"/>
            <w:tcBorders/>
            <w:vAlign w:val="center"/>
          </w:tcPr>
          <w:p>
            <w:pPr>
              <w:pStyle w:val="TableContents"/>
              <w:bidi w:val="0"/>
              <w:spacing w:before="120" w:after="120"/>
              <w:jc w:val="start"/>
              <w:rPr/>
            </w:pPr>
            <w:r>
              <w:rPr/>
              <w:t>[VALUE / DATE]</w:t>
            </w:r>
          </w:p>
        </w:tc>
        <w:tc>
          <w:tcPr>
            <w:tcW w:w="1435" w:type="dxa"/>
            <w:tcBorders/>
            <w:vAlign w:val="center"/>
          </w:tcPr>
          <w:p>
            <w:pPr>
              <w:pStyle w:val="TableContents"/>
              <w:bidi w:val="0"/>
              <w:spacing w:before="120" w:after="120"/>
              <w:jc w:val="start"/>
              <w:rPr/>
            </w:pPr>
            <w:r>
              <w:rPr/>
              <w:t>[VALUE / DATE]</w:t>
            </w:r>
          </w:p>
        </w:tc>
        <w:tc>
          <w:tcPr>
            <w:tcW w:w="1256" w:type="dxa"/>
            <w:tcBorders/>
            <w:vAlign w:val="center"/>
          </w:tcPr>
          <w:p>
            <w:pPr>
              <w:pStyle w:val="TableContents"/>
              <w:bidi w:val="0"/>
              <w:spacing w:before="120" w:after="120"/>
              <w:jc w:val="start"/>
              <w:rPr/>
            </w:pPr>
            <w:r>
              <w:rPr/>
              <w:t>[VALUE / DATE]</w:t>
            </w:r>
          </w:p>
        </w:tc>
        <w:tc>
          <w:tcPr>
            <w:tcW w:w="1818" w:type="dxa"/>
            <w:tcBorders/>
            <w:vAlign w:val="center"/>
          </w:tcPr>
          <w:p>
            <w:pPr>
              <w:pStyle w:val="TableContents"/>
              <w:bidi w:val="0"/>
              <w:spacing w:before="120" w:after="120"/>
              <w:jc w:val="start"/>
              <w:rPr/>
            </w:pPr>
            <w:r>
              <w:rPr/>
              <w:t>[VALUE / DATE]</w:t>
            </w:r>
          </w:p>
        </w:tc>
      </w:tr>
      <w:tr>
        <w:trPr/>
        <w:tc>
          <w:tcPr>
            <w:tcW w:w="2000" w:type="dxa"/>
            <w:tcBorders/>
            <w:vAlign w:val="center"/>
          </w:tcPr>
          <w:p>
            <w:pPr>
              <w:pStyle w:val="TableContents"/>
              <w:bidi w:val="0"/>
              <w:spacing w:before="120" w:after="120"/>
              <w:jc w:val="start"/>
              <w:rPr/>
            </w:pPr>
            <w:r>
              <w:rPr/>
              <w:t>Domains elevated</w:t>
            </w:r>
          </w:p>
        </w:tc>
        <w:tc>
          <w:tcPr>
            <w:tcW w:w="1309" w:type="dxa"/>
            <w:tcBorders/>
            <w:vAlign w:val="center"/>
          </w:tcPr>
          <w:p>
            <w:pPr>
              <w:pStyle w:val="TableContents"/>
              <w:bidi w:val="0"/>
              <w:spacing w:before="120" w:after="120"/>
              <w:jc w:val="start"/>
              <w:rPr/>
            </w:pPr>
            <w:r>
              <w:rPr/>
              <w:t>[COUNT / DATE]</w:t>
            </w:r>
          </w:p>
        </w:tc>
        <w:tc>
          <w:tcPr>
            <w:tcW w:w="1435" w:type="dxa"/>
            <w:tcBorders/>
            <w:vAlign w:val="center"/>
          </w:tcPr>
          <w:p>
            <w:pPr>
              <w:pStyle w:val="TableContents"/>
              <w:bidi w:val="0"/>
              <w:spacing w:before="120" w:after="120"/>
              <w:jc w:val="start"/>
              <w:rPr/>
            </w:pPr>
            <w:r>
              <w:rPr/>
              <w:t>[COUNT / DATE]</w:t>
            </w:r>
          </w:p>
        </w:tc>
        <w:tc>
          <w:tcPr>
            <w:tcW w:w="1256" w:type="dxa"/>
            <w:tcBorders/>
            <w:vAlign w:val="center"/>
          </w:tcPr>
          <w:p>
            <w:pPr>
              <w:pStyle w:val="TableContents"/>
              <w:bidi w:val="0"/>
              <w:spacing w:before="120" w:after="120"/>
              <w:jc w:val="start"/>
              <w:rPr/>
            </w:pPr>
            <w:r>
              <w:rPr/>
              <w:t>[COUNT / DATE]</w:t>
            </w:r>
          </w:p>
        </w:tc>
        <w:tc>
          <w:tcPr>
            <w:tcW w:w="1818" w:type="dxa"/>
            <w:tcBorders/>
            <w:vAlign w:val="center"/>
          </w:tcPr>
          <w:p>
            <w:pPr>
              <w:pStyle w:val="TableContents"/>
              <w:bidi w:val="0"/>
              <w:spacing w:before="120" w:after="120"/>
              <w:jc w:val="start"/>
              <w:rPr/>
            </w:pPr>
            <w:r>
              <w:rPr/>
              <w:t>[COUNT / DATE]</w:t>
            </w:r>
          </w:p>
        </w:tc>
      </w:tr>
      <w:tr>
        <w:trPr/>
        <w:tc>
          <w:tcPr>
            <w:tcW w:w="2000" w:type="dxa"/>
            <w:tcBorders/>
            <w:vAlign w:val="center"/>
          </w:tcPr>
          <w:p>
            <w:pPr>
              <w:pStyle w:val="TableContents"/>
              <w:bidi w:val="0"/>
              <w:spacing w:before="120" w:after="120"/>
              <w:jc w:val="start"/>
              <w:rPr/>
            </w:pPr>
            <w:r>
              <w:rPr/>
              <w:t>Source visibility / divergence</w:t>
            </w:r>
          </w:p>
        </w:tc>
        <w:tc>
          <w:tcPr>
            <w:tcW w:w="1309" w:type="dxa"/>
            <w:tcBorders/>
            <w:vAlign w:val="center"/>
          </w:tcPr>
          <w:p>
            <w:pPr>
              <w:pStyle w:val="TableContents"/>
              <w:bidi w:val="0"/>
              <w:spacing w:before="120" w:after="120"/>
              <w:jc w:val="start"/>
              <w:rPr/>
            </w:pPr>
            <w:r>
              <w:rPr/>
              <w:t>[VALUE / DATE]</w:t>
            </w:r>
          </w:p>
        </w:tc>
        <w:tc>
          <w:tcPr>
            <w:tcW w:w="1435" w:type="dxa"/>
            <w:tcBorders/>
            <w:vAlign w:val="center"/>
          </w:tcPr>
          <w:p>
            <w:pPr>
              <w:pStyle w:val="TableContents"/>
              <w:bidi w:val="0"/>
              <w:spacing w:before="120" w:after="120"/>
              <w:jc w:val="start"/>
              <w:rPr/>
            </w:pPr>
            <w:r>
              <w:rPr/>
              <w:t>[VALUE / DATE]</w:t>
            </w:r>
          </w:p>
        </w:tc>
        <w:tc>
          <w:tcPr>
            <w:tcW w:w="1256" w:type="dxa"/>
            <w:tcBorders/>
            <w:vAlign w:val="center"/>
          </w:tcPr>
          <w:p>
            <w:pPr>
              <w:pStyle w:val="TableContents"/>
              <w:bidi w:val="0"/>
              <w:spacing w:before="120" w:after="120"/>
              <w:jc w:val="start"/>
              <w:rPr/>
            </w:pPr>
            <w:r>
              <w:rPr/>
              <w:t>[VALUE / DATE]</w:t>
            </w:r>
          </w:p>
        </w:tc>
        <w:tc>
          <w:tcPr>
            <w:tcW w:w="1818" w:type="dxa"/>
            <w:tcBorders/>
            <w:vAlign w:val="center"/>
          </w:tcPr>
          <w:p>
            <w:pPr>
              <w:pStyle w:val="TableContents"/>
              <w:bidi w:val="0"/>
              <w:spacing w:before="120" w:after="120"/>
              <w:jc w:val="start"/>
              <w:rPr/>
            </w:pPr>
            <w:r>
              <w:rPr/>
              <w:t>[VALUE / DATE]</w:t>
            </w:r>
          </w:p>
        </w:tc>
      </w:tr>
    </w:tbl>
    <w:p>
      <w:pPr>
        <w:pStyle w:val="Heading2"/>
        <w:bidi w:val="0"/>
        <w:jc w:val="start"/>
        <w:rPr/>
      </w:pPr>
      <w:r>
        <w:rPr/>
        <w:t>Validation Against Talosai Differentiator Questions</w:t>
      </w:r>
    </w:p>
    <w:tbl>
      <w:tblPr>
        <w:tblW w:w="7818" w:type="dxa"/>
        <w:jc w:val="start"/>
        <w:tblInd w:w="0" w:type="dxa"/>
        <w:tblLayout w:type="fixed"/>
        <w:tblCellMar>
          <w:top w:w="28" w:type="dxa"/>
          <w:start w:w="28" w:type="dxa"/>
          <w:bottom w:w="28" w:type="dxa"/>
          <w:end w:w="28" w:type="dxa"/>
        </w:tblCellMar>
      </w:tblPr>
      <w:tblGrid>
        <w:gridCol w:w="2658"/>
        <w:gridCol w:w="1554"/>
        <w:gridCol w:w="3606"/>
      </w:tblGrid>
      <w:tr>
        <w:trPr>
          <w:tblHeader w:val="true"/>
        </w:trPr>
        <w:tc>
          <w:tcPr>
            <w:tcW w:w="2658" w:type="dxa"/>
            <w:tcBorders/>
            <w:vAlign w:val="center"/>
          </w:tcPr>
          <w:p>
            <w:pPr>
              <w:pStyle w:val="TableHeading"/>
              <w:suppressLineNumbers/>
              <w:shd w:fill="133B4A" w:val="clear"/>
              <w:bidi w:val="0"/>
              <w:spacing w:before="120" w:after="120"/>
              <w:jc w:val="start"/>
              <w:rPr/>
            </w:pPr>
            <w:r>
              <w:rPr/>
              <w:t>Validation question</w:t>
            </w:r>
          </w:p>
        </w:tc>
        <w:tc>
          <w:tcPr>
            <w:tcW w:w="1554" w:type="dxa"/>
            <w:tcBorders/>
            <w:vAlign w:val="center"/>
          </w:tcPr>
          <w:p>
            <w:pPr>
              <w:pStyle w:val="TableHeading"/>
              <w:suppressLineNumbers/>
              <w:shd w:fill="133B4A" w:val="clear"/>
              <w:bidi w:val="0"/>
              <w:spacing w:before="120" w:after="120"/>
              <w:jc w:val="start"/>
              <w:rPr/>
            </w:pPr>
            <w:r>
              <w:rPr/>
              <w:t>Assessment</w:t>
            </w:r>
          </w:p>
        </w:tc>
        <w:tc>
          <w:tcPr>
            <w:tcW w:w="3606" w:type="dxa"/>
            <w:tcBorders/>
            <w:vAlign w:val="center"/>
          </w:tcPr>
          <w:p>
            <w:pPr>
              <w:pStyle w:val="TableHeading"/>
              <w:suppressLineNumbers/>
              <w:shd w:fill="133B4A" w:val="clear"/>
              <w:bidi w:val="0"/>
              <w:spacing w:before="120" w:after="120"/>
              <w:jc w:val="start"/>
              <w:rPr/>
            </w:pPr>
            <w:r>
              <w:rPr/>
              <w:t>Evidence required before release</w:t>
            </w:r>
          </w:p>
        </w:tc>
      </w:tr>
      <w:tr>
        <w:trPr/>
        <w:tc>
          <w:tcPr>
            <w:tcW w:w="2658" w:type="dxa"/>
            <w:tcBorders/>
            <w:vAlign w:val="center"/>
          </w:tcPr>
          <w:p>
            <w:pPr>
              <w:pStyle w:val="TableContents"/>
              <w:bidi w:val="0"/>
              <w:spacing w:before="120" w:after="120"/>
              <w:jc w:val="start"/>
              <w:rPr/>
            </w:pPr>
            <w:r>
              <w:rPr/>
              <w:t>Did pressure accelerate before the event or crisis state?</w:t>
            </w:r>
          </w:p>
        </w:tc>
        <w:tc>
          <w:tcPr>
            <w:tcW w:w="1554" w:type="dxa"/>
            <w:tcBorders/>
            <w:vAlign w:val="center"/>
          </w:tcPr>
          <w:p>
            <w:pPr>
              <w:pStyle w:val="TableContents"/>
              <w:bidi w:val="0"/>
              <w:spacing w:before="120" w:after="120"/>
              <w:jc w:val="start"/>
              <w:rPr/>
            </w:pPr>
            <w:r>
              <w:rPr/>
              <w:t>[TO DETERMINE]</w:t>
            </w:r>
          </w:p>
        </w:tc>
        <w:tc>
          <w:tcPr>
            <w:tcW w:w="3606" w:type="dxa"/>
            <w:tcBorders/>
            <w:vAlign w:val="center"/>
          </w:tcPr>
          <w:p>
            <w:pPr>
              <w:pStyle w:val="TableContents"/>
              <w:bidi w:val="0"/>
              <w:spacing w:before="120" w:after="120"/>
              <w:jc w:val="start"/>
              <w:rPr/>
            </w:pPr>
            <w:r>
              <w:rPr/>
              <w:t>Archived trend direction, magnitude, and first abnormal as-of date.</w:t>
            </w:r>
          </w:p>
        </w:tc>
      </w:tr>
      <w:tr>
        <w:trPr/>
        <w:tc>
          <w:tcPr>
            <w:tcW w:w="2658" w:type="dxa"/>
            <w:tcBorders/>
            <w:vAlign w:val="center"/>
          </w:tcPr>
          <w:p>
            <w:pPr>
              <w:pStyle w:val="TableContents"/>
              <w:bidi w:val="0"/>
              <w:spacing w:before="120" w:after="120"/>
              <w:jc w:val="start"/>
              <w:rPr/>
            </w:pPr>
            <w:r>
              <w:rPr/>
              <w:t>Did multiple independent domains converge?</w:t>
            </w:r>
          </w:p>
        </w:tc>
        <w:tc>
          <w:tcPr>
            <w:tcW w:w="1554" w:type="dxa"/>
            <w:tcBorders/>
            <w:vAlign w:val="center"/>
          </w:tcPr>
          <w:p>
            <w:pPr>
              <w:pStyle w:val="TableContents"/>
              <w:bidi w:val="0"/>
              <w:spacing w:before="120" w:after="120"/>
              <w:jc w:val="start"/>
              <w:rPr/>
            </w:pPr>
            <w:r>
              <w:rPr/>
              <w:t>[TO DETERMINE]</w:t>
            </w:r>
          </w:p>
        </w:tc>
        <w:tc>
          <w:tcPr>
            <w:tcW w:w="3606" w:type="dxa"/>
            <w:tcBorders/>
            <w:vAlign w:val="center"/>
          </w:tcPr>
          <w:p>
            <w:pPr>
              <w:pStyle w:val="TableContents"/>
              <w:bidi w:val="0"/>
              <w:spacing w:before="120" w:after="120"/>
              <w:jc w:val="start"/>
              <w:rPr/>
            </w:pPr>
            <w:r>
              <w:rPr/>
              <w:t>Domain values and tested convergence window.</w:t>
            </w:r>
          </w:p>
        </w:tc>
      </w:tr>
      <w:tr>
        <w:trPr/>
        <w:tc>
          <w:tcPr>
            <w:tcW w:w="2658" w:type="dxa"/>
            <w:tcBorders/>
            <w:vAlign w:val="center"/>
          </w:tcPr>
          <w:p>
            <w:pPr>
              <w:pStyle w:val="TableContents"/>
              <w:bidi w:val="0"/>
              <w:spacing w:before="120" w:after="120"/>
              <w:jc w:val="start"/>
              <w:rPr/>
            </w:pPr>
            <w:r>
              <w:rPr/>
              <w:t>Did divergence or signal impairment appear?</w:t>
            </w:r>
          </w:p>
        </w:tc>
        <w:tc>
          <w:tcPr>
            <w:tcW w:w="1554" w:type="dxa"/>
            <w:tcBorders/>
            <w:vAlign w:val="center"/>
          </w:tcPr>
          <w:p>
            <w:pPr>
              <w:pStyle w:val="TableContents"/>
              <w:bidi w:val="0"/>
              <w:spacing w:before="120" w:after="120"/>
              <w:jc w:val="start"/>
              <w:rPr/>
            </w:pPr>
            <w:r>
              <w:rPr/>
              <w:t>[TO DETERMINE]</w:t>
            </w:r>
          </w:p>
        </w:tc>
        <w:tc>
          <w:tcPr>
            <w:tcW w:w="3606" w:type="dxa"/>
            <w:tcBorders/>
            <w:vAlign w:val="center"/>
          </w:tcPr>
          <w:p>
            <w:pPr>
              <w:pStyle w:val="TableContents"/>
              <w:bidi w:val="0"/>
              <w:spacing w:before="120" w:after="120"/>
              <w:jc w:val="start"/>
              <w:rPr/>
            </w:pPr>
            <w:r>
              <w:rPr/>
              <w:t>Source balance, missingness, public-search discontinuities, or non-confirming financial movement.</w:t>
            </w:r>
          </w:p>
        </w:tc>
      </w:tr>
      <w:tr>
        <w:trPr/>
        <w:tc>
          <w:tcPr>
            <w:tcW w:w="2658" w:type="dxa"/>
            <w:tcBorders/>
            <w:vAlign w:val="center"/>
          </w:tcPr>
          <w:p>
            <w:pPr>
              <w:pStyle w:val="TableContents"/>
              <w:bidi w:val="0"/>
              <w:spacing w:before="120" w:after="120"/>
              <w:jc w:val="start"/>
              <w:rPr/>
            </w:pPr>
            <w:r>
              <w:rPr/>
              <w:t>Did isolated stress become systemic stress?</w:t>
            </w:r>
          </w:p>
        </w:tc>
        <w:tc>
          <w:tcPr>
            <w:tcW w:w="1554" w:type="dxa"/>
            <w:tcBorders/>
            <w:vAlign w:val="center"/>
          </w:tcPr>
          <w:p>
            <w:pPr>
              <w:pStyle w:val="TableContents"/>
              <w:bidi w:val="0"/>
              <w:spacing w:before="120" w:after="120"/>
              <w:jc w:val="start"/>
              <w:rPr/>
            </w:pPr>
            <w:r>
              <w:rPr/>
              <w:t>[TO DETERMINE]</w:t>
            </w:r>
          </w:p>
        </w:tc>
        <w:tc>
          <w:tcPr>
            <w:tcW w:w="3606" w:type="dxa"/>
            <w:tcBorders/>
            <w:vAlign w:val="center"/>
          </w:tcPr>
          <w:p>
            <w:pPr>
              <w:pStyle w:val="TableContents"/>
              <w:bidi w:val="0"/>
              <w:spacing w:before="120" w:after="120"/>
              <w:jc w:val="start"/>
              <w:rPr/>
            </w:pPr>
            <w:r>
              <w:rPr/>
              <w:t>Integrated risk transition and number of elevated streams/domains.</w:t>
            </w:r>
          </w:p>
        </w:tc>
      </w:tr>
      <w:tr>
        <w:trPr/>
        <w:tc>
          <w:tcPr>
            <w:tcW w:w="2658" w:type="dxa"/>
            <w:tcBorders/>
            <w:vAlign w:val="center"/>
          </w:tcPr>
          <w:p>
            <w:pPr>
              <w:pStyle w:val="TableContents"/>
              <w:bidi w:val="0"/>
              <w:spacing w:before="120" w:after="120"/>
              <w:jc w:val="start"/>
              <w:rPr/>
            </w:pPr>
            <w:r>
              <w:rPr/>
              <w:t>Did Talosai support forward-looking posture guidance?</w:t>
            </w:r>
          </w:p>
        </w:tc>
        <w:tc>
          <w:tcPr>
            <w:tcW w:w="1554" w:type="dxa"/>
            <w:tcBorders/>
            <w:vAlign w:val="center"/>
          </w:tcPr>
          <w:p>
            <w:pPr>
              <w:pStyle w:val="TableContents"/>
              <w:bidi w:val="0"/>
              <w:spacing w:before="120" w:after="120"/>
              <w:jc w:val="start"/>
              <w:rPr/>
            </w:pPr>
            <w:r>
              <w:rPr/>
              <w:t>[TO DETERMINE]</w:t>
            </w:r>
          </w:p>
        </w:tc>
        <w:tc>
          <w:tcPr>
            <w:tcW w:w="3606" w:type="dxa"/>
            <w:tcBorders/>
            <w:vAlign w:val="center"/>
          </w:tcPr>
          <w:p>
            <w:pPr>
              <w:pStyle w:val="TableContents"/>
              <w:bidi w:val="0"/>
              <w:spacing w:before="120" w:after="120"/>
              <w:jc w:val="start"/>
              <w:rPr/>
            </w:pPr>
            <w:r>
              <w:rPr/>
              <w:t>Archived forecast or documented risk-state guidance available at the time.</w:t>
            </w:r>
          </w:p>
        </w:tc>
      </w:tr>
      <w:tr>
        <w:trPr/>
        <w:tc>
          <w:tcPr>
            <w:tcW w:w="2658" w:type="dxa"/>
            <w:tcBorders/>
            <w:vAlign w:val="center"/>
          </w:tcPr>
          <w:p>
            <w:pPr>
              <w:pStyle w:val="TableContents"/>
              <w:bidi w:val="0"/>
              <w:spacing w:before="120" w:after="120"/>
              <w:jc w:val="start"/>
              <w:rPr/>
            </w:pPr>
            <w:r>
              <w:rPr/>
              <w:t>How early was the first defensible signal?</w:t>
            </w:r>
          </w:p>
        </w:tc>
        <w:tc>
          <w:tcPr>
            <w:tcW w:w="1554" w:type="dxa"/>
            <w:tcBorders/>
            <w:vAlign w:val="center"/>
          </w:tcPr>
          <w:p>
            <w:pPr>
              <w:pStyle w:val="TableContents"/>
              <w:bidi w:val="0"/>
              <w:spacing w:before="120" w:after="120"/>
              <w:jc w:val="start"/>
              <w:rPr/>
            </w:pPr>
            <w:r>
              <w:rPr/>
              <w:t>[TO CALCULATE]</w:t>
            </w:r>
          </w:p>
        </w:tc>
        <w:tc>
          <w:tcPr>
            <w:tcW w:w="3606" w:type="dxa"/>
            <w:tcBorders/>
            <w:vAlign w:val="center"/>
          </w:tcPr>
          <w:p>
            <w:pPr>
              <w:pStyle w:val="TableContents"/>
              <w:bidi w:val="0"/>
              <w:spacing w:before="120" w:after="120"/>
              <w:jc w:val="start"/>
              <w:rPr/>
            </w:pPr>
            <w:r>
              <w:rPr/>
              <w:t>First supported as-of date compared with the chosen event anchor.</w:t>
            </w:r>
          </w:p>
        </w:tc>
      </w:tr>
    </w:tbl>
    <w:p>
      <w:pPr>
        <w:pStyle w:val="Heading2"/>
        <w:bidi w:val="0"/>
        <w:jc w:val="start"/>
        <w:rPr/>
      </w:pPr>
      <w:r>
        <w:rPr/>
        <w:t>Systemic Correlation and Convergence</w:t>
      </w:r>
    </w:p>
    <w:p>
      <w:pPr>
        <w:pStyle w:val="BodyText"/>
        <w:bidi w:val="0"/>
        <w:jc w:val="start"/>
        <w:rPr/>
      </w:pPr>
      <w:r>
        <w:rPr/>
        <w:t>Correlation should be used to explain relationships, not to imply causation or prediction. Select windows before examining the result, report sample size where possible, and distinguish full-window correlation from event-window co-movement. Negative or broken relationships can be informative when a stream is impaired or when one signal legitimately does not confirm the crisis.</w:t>
      </w:r>
    </w:p>
    <w:tbl>
      <w:tblPr>
        <w:tblW w:w="7818" w:type="dxa"/>
        <w:jc w:val="start"/>
        <w:tblInd w:w="0" w:type="dxa"/>
        <w:tblLayout w:type="fixed"/>
        <w:tblCellMar>
          <w:top w:w="28" w:type="dxa"/>
          <w:start w:w="28" w:type="dxa"/>
          <w:bottom w:w="28" w:type="dxa"/>
          <w:end w:w="28" w:type="dxa"/>
        </w:tblCellMar>
      </w:tblPr>
      <w:tblGrid>
        <w:gridCol w:w="1756"/>
        <w:gridCol w:w="1127"/>
        <w:gridCol w:w="1446"/>
        <w:gridCol w:w="1453"/>
        <w:gridCol w:w="2036"/>
      </w:tblGrid>
      <w:tr>
        <w:trPr>
          <w:tblHeader w:val="true"/>
        </w:trPr>
        <w:tc>
          <w:tcPr>
            <w:tcW w:w="1756" w:type="dxa"/>
            <w:tcBorders/>
            <w:vAlign w:val="center"/>
          </w:tcPr>
          <w:p>
            <w:pPr>
              <w:pStyle w:val="TableHeading"/>
              <w:suppressLineNumbers/>
              <w:shd w:fill="133B4A" w:val="clear"/>
              <w:bidi w:val="0"/>
              <w:spacing w:before="120" w:after="120"/>
              <w:jc w:val="start"/>
              <w:rPr/>
            </w:pPr>
            <w:r>
              <w:rPr/>
              <w:t>Co-movement pair</w:t>
            </w:r>
          </w:p>
        </w:tc>
        <w:tc>
          <w:tcPr>
            <w:tcW w:w="1127" w:type="dxa"/>
            <w:tcBorders/>
            <w:vAlign w:val="center"/>
          </w:tcPr>
          <w:p>
            <w:pPr>
              <w:pStyle w:val="TableHeading"/>
              <w:suppressLineNumbers/>
              <w:shd w:fill="133B4A" w:val="clear"/>
              <w:bidi w:val="0"/>
              <w:spacing w:before="120" w:after="120"/>
              <w:jc w:val="start"/>
              <w:rPr/>
            </w:pPr>
            <w:r>
              <w:rPr/>
              <w:t>Baseline window</w:t>
            </w:r>
          </w:p>
        </w:tc>
        <w:tc>
          <w:tcPr>
            <w:tcW w:w="1446" w:type="dxa"/>
            <w:tcBorders/>
            <w:vAlign w:val="center"/>
          </w:tcPr>
          <w:p>
            <w:pPr>
              <w:pStyle w:val="TableHeading"/>
              <w:suppressLineNumbers/>
              <w:shd w:fill="133B4A" w:val="clear"/>
              <w:bidi w:val="0"/>
              <w:spacing w:before="120" w:after="120"/>
              <w:jc w:val="start"/>
              <w:rPr/>
            </w:pPr>
            <w:r>
              <w:rPr/>
              <w:t>Pre-event / formation</w:t>
            </w:r>
          </w:p>
        </w:tc>
        <w:tc>
          <w:tcPr>
            <w:tcW w:w="1453" w:type="dxa"/>
            <w:tcBorders/>
            <w:vAlign w:val="center"/>
          </w:tcPr>
          <w:p>
            <w:pPr>
              <w:pStyle w:val="TableHeading"/>
              <w:suppressLineNumbers/>
              <w:shd w:fill="133B4A" w:val="clear"/>
              <w:bidi w:val="0"/>
              <w:spacing w:before="120" w:after="120"/>
              <w:jc w:val="start"/>
              <w:rPr/>
            </w:pPr>
            <w:r>
              <w:rPr/>
              <w:t>Event / escalation</w:t>
            </w:r>
          </w:p>
        </w:tc>
        <w:tc>
          <w:tcPr>
            <w:tcW w:w="2036" w:type="dxa"/>
            <w:tcBorders/>
            <w:vAlign w:val="center"/>
          </w:tcPr>
          <w:p>
            <w:pPr>
              <w:pStyle w:val="TableHeading"/>
              <w:suppressLineNumbers/>
              <w:shd w:fill="133B4A" w:val="clear"/>
              <w:bidi w:val="0"/>
              <w:spacing w:before="120" w:after="120"/>
              <w:jc w:val="start"/>
              <w:rPr/>
            </w:pPr>
            <w:r>
              <w:rPr/>
              <w:t>Interpretation</w:t>
            </w:r>
          </w:p>
        </w:tc>
      </w:tr>
      <w:tr>
        <w:trPr/>
        <w:tc>
          <w:tcPr>
            <w:tcW w:w="1756" w:type="dxa"/>
            <w:tcBorders/>
            <w:vAlign w:val="center"/>
          </w:tcPr>
          <w:p>
            <w:pPr>
              <w:pStyle w:val="TableContents"/>
              <w:bidi w:val="0"/>
              <w:spacing w:before="120" w:after="120"/>
              <w:jc w:val="start"/>
              <w:rPr/>
            </w:pPr>
            <w:r>
              <w:rPr/>
              <w:t>Narrative ↔ Public concern</w:t>
            </w:r>
          </w:p>
        </w:tc>
        <w:tc>
          <w:tcPr>
            <w:tcW w:w="1127" w:type="dxa"/>
            <w:tcBorders/>
            <w:vAlign w:val="center"/>
          </w:tcPr>
          <w:p>
            <w:pPr>
              <w:pStyle w:val="TableContents"/>
              <w:bidi w:val="0"/>
              <w:spacing w:before="120" w:after="120"/>
              <w:jc w:val="start"/>
              <w:rPr/>
            </w:pPr>
            <w:r>
              <w:rPr/>
              <w:t>[r / n]</w:t>
            </w:r>
          </w:p>
        </w:tc>
        <w:tc>
          <w:tcPr>
            <w:tcW w:w="1446" w:type="dxa"/>
            <w:tcBorders/>
            <w:vAlign w:val="center"/>
          </w:tcPr>
          <w:p>
            <w:pPr>
              <w:pStyle w:val="TableContents"/>
              <w:bidi w:val="0"/>
              <w:spacing w:before="120" w:after="120"/>
              <w:jc w:val="start"/>
              <w:rPr/>
            </w:pPr>
            <w:r>
              <w:rPr/>
              <w:t>[r / n]</w:t>
            </w:r>
          </w:p>
        </w:tc>
        <w:tc>
          <w:tcPr>
            <w:tcW w:w="1453" w:type="dxa"/>
            <w:tcBorders/>
            <w:vAlign w:val="center"/>
          </w:tcPr>
          <w:p>
            <w:pPr>
              <w:pStyle w:val="TableContents"/>
              <w:bidi w:val="0"/>
              <w:spacing w:before="120" w:after="120"/>
              <w:jc w:val="start"/>
              <w:rPr/>
            </w:pPr>
            <w:r>
              <w:rPr/>
              <w:t>[r / n]</w:t>
            </w:r>
          </w:p>
        </w:tc>
        <w:tc>
          <w:tcPr>
            <w:tcW w:w="2036" w:type="dxa"/>
            <w:tcBorders/>
            <w:vAlign w:val="center"/>
          </w:tcPr>
          <w:p>
            <w:pPr>
              <w:pStyle w:val="TableContents"/>
              <w:bidi w:val="0"/>
              <w:spacing w:before="120" w:after="120"/>
              <w:jc w:val="start"/>
              <w:rPr/>
            </w:pPr>
            <w:r>
              <w:rPr/>
              <w:t>[TALOSAI ANALYST INTERPRETATION]</w:t>
            </w:r>
          </w:p>
        </w:tc>
      </w:tr>
      <w:tr>
        <w:trPr/>
        <w:tc>
          <w:tcPr>
            <w:tcW w:w="1756" w:type="dxa"/>
            <w:tcBorders/>
            <w:vAlign w:val="center"/>
          </w:tcPr>
          <w:p>
            <w:pPr>
              <w:pStyle w:val="TableContents"/>
              <w:bidi w:val="0"/>
              <w:spacing w:before="120" w:after="120"/>
              <w:jc w:val="start"/>
              <w:rPr/>
            </w:pPr>
            <w:r>
              <w:rPr/>
              <w:t>Narrative ↔ Financial pressure</w:t>
            </w:r>
          </w:p>
        </w:tc>
        <w:tc>
          <w:tcPr>
            <w:tcW w:w="1127" w:type="dxa"/>
            <w:tcBorders/>
            <w:vAlign w:val="center"/>
          </w:tcPr>
          <w:p>
            <w:pPr>
              <w:pStyle w:val="TableContents"/>
              <w:bidi w:val="0"/>
              <w:spacing w:before="120" w:after="120"/>
              <w:jc w:val="start"/>
              <w:rPr/>
            </w:pPr>
            <w:r>
              <w:rPr/>
              <w:t>[r / n]</w:t>
            </w:r>
          </w:p>
        </w:tc>
        <w:tc>
          <w:tcPr>
            <w:tcW w:w="1446" w:type="dxa"/>
            <w:tcBorders/>
            <w:vAlign w:val="center"/>
          </w:tcPr>
          <w:p>
            <w:pPr>
              <w:pStyle w:val="TableContents"/>
              <w:bidi w:val="0"/>
              <w:spacing w:before="120" w:after="120"/>
              <w:jc w:val="start"/>
              <w:rPr/>
            </w:pPr>
            <w:r>
              <w:rPr/>
              <w:t>[r / n]</w:t>
            </w:r>
          </w:p>
        </w:tc>
        <w:tc>
          <w:tcPr>
            <w:tcW w:w="1453" w:type="dxa"/>
            <w:tcBorders/>
            <w:vAlign w:val="center"/>
          </w:tcPr>
          <w:p>
            <w:pPr>
              <w:pStyle w:val="TableContents"/>
              <w:bidi w:val="0"/>
              <w:spacing w:before="120" w:after="120"/>
              <w:jc w:val="start"/>
              <w:rPr/>
            </w:pPr>
            <w:r>
              <w:rPr/>
              <w:t>[r / n]</w:t>
            </w:r>
          </w:p>
        </w:tc>
        <w:tc>
          <w:tcPr>
            <w:tcW w:w="2036" w:type="dxa"/>
            <w:tcBorders/>
            <w:vAlign w:val="center"/>
          </w:tcPr>
          <w:p>
            <w:pPr>
              <w:pStyle w:val="TableContents"/>
              <w:bidi w:val="0"/>
              <w:spacing w:before="120" w:after="120"/>
              <w:jc w:val="start"/>
              <w:rPr/>
            </w:pPr>
            <w:r>
              <w:rPr/>
              <w:t>[TALOSAI ANALYST INTERPRETATION]</w:t>
            </w:r>
          </w:p>
        </w:tc>
      </w:tr>
      <w:tr>
        <w:trPr/>
        <w:tc>
          <w:tcPr>
            <w:tcW w:w="1756" w:type="dxa"/>
            <w:tcBorders/>
            <w:vAlign w:val="center"/>
          </w:tcPr>
          <w:p>
            <w:pPr>
              <w:pStyle w:val="TableContents"/>
              <w:bidi w:val="0"/>
              <w:spacing w:before="120" w:after="120"/>
              <w:jc w:val="start"/>
              <w:rPr/>
            </w:pPr>
            <w:r>
              <w:rPr/>
              <w:t>Governance ↔ Society</w:t>
            </w:r>
          </w:p>
        </w:tc>
        <w:tc>
          <w:tcPr>
            <w:tcW w:w="1127" w:type="dxa"/>
            <w:tcBorders/>
            <w:vAlign w:val="center"/>
          </w:tcPr>
          <w:p>
            <w:pPr>
              <w:pStyle w:val="TableContents"/>
              <w:bidi w:val="0"/>
              <w:spacing w:before="120" w:after="120"/>
              <w:jc w:val="start"/>
              <w:rPr/>
            </w:pPr>
            <w:r>
              <w:rPr/>
              <w:t>[r / n]</w:t>
            </w:r>
          </w:p>
        </w:tc>
        <w:tc>
          <w:tcPr>
            <w:tcW w:w="1446" w:type="dxa"/>
            <w:tcBorders/>
            <w:vAlign w:val="center"/>
          </w:tcPr>
          <w:p>
            <w:pPr>
              <w:pStyle w:val="TableContents"/>
              <w:bidi w:val="0"/>
              <w:spacing w:before="120" w:after="120"/>
              <w:jc w:val="start"/>
              <w:rPr/>
            </w:pPr>
            <w:r>
              <w:rPr/>
              <w:t>[r / n]</w:t>
            </w:r>
          </w:p>
        </w:tc>
        <w:tc>
          <w:tcPr>
            <w:tcW w:w="1453" w:type="dxa"/>
            <w:tcBorders/>
            <w:vAlign w:val="center"/>
          </w:tcPr>
          <w:p>
            <w:pPr>
              <w:pStyle w:val="TableContents"/>
              <w:bidi w:val="0"/>
              <w:spacing w:before="120" w:after="120"/>
              <w:jc w:val="start"/>
              <w:rPr/>
            </w:pPr>
            <w:r>
              <w:rPr/>
              <w:t>[r / n]</w:t>
            </w:r>
          </w:p>
        </w:tc>
        <w:tc>
          <w:tcPr>
            <w:tcW w:w="2036" w:type="dxa"/>
            <w:tcBorders/>
            <w:vAlign w:val="center"/>
          </w:tcPr>
          <w:p>
            <w:pPr>
              <w:pStyle w:val="TableContents"/>
              <w:bidi w:val="0"/>
              <w:spacing w:before="120" w:after="120"/>
              <w:jc w:val="start"/>
              <w:rPr/>
            </w:pPr>
            <w:r>
              <w:rPr/>
              <w:t>[TALOSAI ANALYST INTERPRETATION]</w:t>
            </w:r>
          </w:p>
        </w:tc>
      </w:tr>
      <w:tr>
        <w:trPr/>
        <w:tc>
          <w:tcPr>
            <w:tcW w:w="1756" w:type="dxa"/>
            <w:tcBorders/>
            <w:vAlign w:val="center"/>
          </w:tcPr>
          <w:p>
            <w:pPr>
              <w:pStyle w:val="TableContents"/>
              <w:bidi w:val="0"/>
              <w:spacing w:before="120" w:after="120"/>
              <w:jc w:val="start"/>
              <w:rPr/>
            </w:pPr>
            <w:r>
              <w:rPr/>
              <w:t>Security/Defense ↔ Society</w:t>
            </w:r>
          </w:p>
        </w:tc>
        <w:tc>
          <w:tcPr>
            <w:tcW w:w="1127" w:type="dxa"/>
            <w:tcBorders/>
            <w:vAlign w:val="center"/>
          </w:tcPr>
          <w:p>
            <w:pPr>
              <w:pStyle w:val="TableContents"/>
              <w:bidi w:val="0"/>
              <w:spacing w:before="120" w:after="120"/>
              <w:jc w:val="start"/>
              <w:rPr/>
            </w:pPr>
            <w:r>
              <w:rPr/>
              <w:t>[r / n]</w:t>
            </w:r>
          </w:p>
        </w:tc>
        <w:tc>
          <w:tcPr>
            <w:tcW w:w="1446" w:type="dxa"/>
            <w:tcBorders/>
            <w:vAlign w:val="center"/>
          </w:tcPr>
          <w:p>
            <w:pPr>
              <w:pStyle w:val="TableContents"/>
              <w:bidi w:val="0"/>
              <w:spacing w:before="120" w:after="120"/>
              <w:jc w:val="start"/>
              <w:rPr/>
            </w:pPr>
            <w:r>
              <w:rPr/>
              <w:t>[r / n]</w:t>
            </w:r>
          </w:p>
        </w:tc>
        <w:tc>
          <w:tcPr>
            <w:tcW w:w="1453" w:type="dxa"/>
            <w:tcBorders/>
            <w:vAlign w:val="center"/>
          </w:tcPr>
          <w:p>
            <w:pPr>
              <w:pStyle w:val="TableContents"/>
              <w:bidi w:val="0"/>
              <w:spacing w:before="120" w:after="120"/>
              <w:jc w:val="start"/>
              <w:rPr/>
            </w:pPr>
            <w:r>
              <w:rPr/>
              <w:t>[r / n]</w:t>
            </w:r>
          </w:p>
        </w:tc>
        <w:tc>
          <w:tcPr>
            <w:tcW w:w="2036" w:type="dxa"/>
            <w:tcBorders/>
            <w:vAlign w:val="center"/>
          </w:tcPr>
          <w:p>
            <w:pPr>
              <w:pStyle w:val="TableContents"/>
              <w:bidi w:val="0"/>
              <w:spacing w:before="120" w:after="120"/>
              <w:jc w:val="start"/>
              <w:rPr/>
            </w:pPr>
            <w:r>
              <w:rPr/>
              <w:t>[TALOSAI ANALYST INTERPRETATION]</w:t>
            </w:r>
          </w:p>
        </w:tc>
      </w:tr>
      <w:tr>
        <w:trPr/>
        <w:tc>
          <w:tcPr>
            <w:tcW w:w="1756" w:type="dxa"/>
            <w:tcBorders/>
            <w:vAlign w:val="center"/>
          </w:tcPr>
          <w:p>
            <w:pPr>
              <w:pStyle w:val="TableContents"/>
              <w:bidi w:val="0"/>
              <w:spacing w:before="120" w:after="120"/>
              <w:jc w:val="start"/>
              <w:rPr/>
            </w:pPr>
            <w:r>
              <w:rPr/>
              <w:t>Economy ↔ Governance</w:t>
            </w:r>
          </w:p>
        </w:tc>
        <w:tc>
          <w:tcPr>
            <w:tcW w:w="1127" w:type="dxa"/>
            <w:tcBorders/>
            <w:vAlign w:val="center"/>
          </w:tcPr>
          <w:p>
            <w:pPr>
              <w:pStyle w:val="TableContents"/>
              <w:bidi w:val="0"/>
              <w:spacing w:before="120" w:after="120"/>
              <w:jc w:val="start"/>
              <w:rPr/>
            </w:pPr>
            <w:r>
              <w:rPr/>
              <w:t>[r / n]</w:t>
            </w:r>
          </w:p>
        </w:tc>
        <w:tc>
          <w:tcPr>
            <w:tcW w:w="1446" w:type="dxa"/>
            <w:tcBorders/>
            <w:vAlign w:val="center"/>
          </w:tcPr>
          <w:p>
            <w:pPr>
              <w:pStyle w:val="TableContents"/>
              <w:bidi w:val="0"/>
              <w:spacing w:before="120" w:after="120"/>
              <w:jc w:val="start"/>
              <w:rPr/>
            </w:pPr>
            <w:r>
              <w:rPr/>
              <w:t>[r / n]</w:t>
            </w:r>
          </w:p>
        </w:tc>
        <w:tc>
          <w:tcPr>
            <w:tcW w:w="1453" w:type="dxa"/>
            <w:tcBorders/>
            <w:vAlign w:val="center"/>
          </w:tcPr>
          <w:p>
            <w:pPr>
              <w:pStyle w:val="TableContents"/>
              <w:bidi w:val="0"/>
              <w:spacing w:before="120" w:after="120"/>
              <w:jc w:val="start"/>
              <w:rPr/>
            </w:pPr>
            <w:r>
              <w:rPr/>
              <w:t>[r / n]</w:t>
            </w:r>
          </w:p>
        </w:tc>
        <w:tc>
          <w:tcPr>
            <w:tcW w:w="2036" w:type="dxa"/>
            <w:tcBorders/>
            <w:vAlign w:val="center"/>
          </w:tcPr>
          <w:p>
            <w:pPr>
              <w:pStyle w:val="TableContents"/>
              <w:bidi w:val="0"/>
              <w:spacing w:before="120" w:after="120"/>
              <w:jc w:val="start"/>
              <w:rPr/>
            </w:pPr>
            <w:r>
              <w:rPr/>
              <w:t>[TALOSAI ANALYST INTERPRETATION]</w:t>
            </w:r>
          </w:p>
        </w:tc>
      </w:tr>
    </w:tbl>
    <w:p>
      <w:pPr>
        <w:pStyle w:val="Heading2"/>
        <w:bidi w:val="0"/>
        <w:jc w:val="start"/>
        <w:rPr/>
      </w:pPr>
      <w:r>
        <w:rPr/>
        <w:t>Decision-Relevance Assessment</w:t>
      </w:r>
    </w:p>
    <w:p>
      <w:pPr>
        <w:pStyle w:val="BodyText"/>
        <w:bidi w:val="0"/>
        <w:jc w:val="start"/>
        <w:rPr/>
      </w:pPr>
      <w:r>
        <w:rPr/>
        <w:t>The purpose of the case is to connect an observed signal state to actions a decision-maker could reasonably take at that time. Recommendations should be proportional to evidence and should not imply that Talosai directs operational decisions without human judgment.</w:t>
      </w:r>
    </w:p>
    <w:tbl>
      <w:tblPr>
        <w:tblW w:w="7818" w:type="dxa"/>
        <w:jc w:val="start"/>
        <w:tblInd w:w="0" w:type="dxa"/>
        <w:tblLayout w:type="fixed"/>
        <w:tblCellMar>
          <w:top w:w="28" w:type="dxa"/>
          <w:start w:w="28" w:type="dxa"/>
          <w:bottom w:w="28" w:type="dxa"/>
          <w:end w:w="28" w:type="dxa"/>
        </w:tblCellMar>
      </w:tblPr>
      <w:tblGrid>
        <w:gridCol w:w="2168"/>
        <w:gridCol w:w="2299"/>
        <w:gridCol w:w="3351"/>
      </w:tblGrid>
      <w:tr>
        <w:trPr>
          <w:tblHeader w:val="true"/>
        </w:trPr>
        <w:tc>
          <w:tcPr>
            <w:tcW w:w="2168" w:type="dxa"/>
            <w:tcBorders/>
            <w:vAlign w:val="center"/>
          </w:tcPr>
          <w:p>
            <w:pPr>
              <w:pStyle w:val="TableHeading"/>
              <w:suppressLineNumbers/>
              <w:shd w:fill="133B4A" w:val="clear"/>
              <w:bidi w:val="0"/>
              <w:spacing w:before="120" w:after="120"/>
              <w:jc w:val="start"/>
              <w:rPr/>
            </w:pPr>
            <w:r>
              <w:rPr/>
              <w:t>Alert posture</w:t>
            </w:r>
          </w:p>
        </w:tc>
        <w:tc>
          <w:tcPr>
            <w:tcW w:w="2299" w:type="dxa"/>
            <w:tcBorders/>
            <w:vAlign w:val="center"/>
          </w:tcPr>
          <w:p>
            <w:pPr>
              <w:pStyle w:val="TableHeading"/>
              <w:suppressLineNumbers/>
              <w:shd w:fill="133B4A" w:val="clear"/>
              <w:bidi w:val="0"/>
              <w:spacing w:before="120" w:after="120"/>
              <w:jc w:val="start"/>
              <w:rPr/>
            </w:pPr>
            <w:r>
              <w:rPr/>
              <w:t>Signal basis</w:t>
            </w:r>
          </w:p>
        </w:tc>
        <w:tc>
          <w:tcPr>
            <w:tcW w:w="3351" w:type="dxa"/>
            <w:tcBorders/>
            <w:vAlign w:val="center"/>
          </w:tcPr>
          <w:p>
            <w:pPr>
              <w:pStyle w:val="TableHeading"/>
              <w:suppressLineNumbers/>
              <w:shd w:fill="133B4A" w:val="clear"/>
              <w:bidi w:val="0"/>
              <w:spacing w:before="120" w:after="120"/>
              <w:jc w:val="start"/>
              <w:rPr/>
            </w:pPr>
            <w:r>
              <w:rPr/>
              <w:t>Decision-maker actions supported</w:t>
            </w:r>
          </w:p>
        </w:tc>
      </w:tr>
      <w:tr>
        <w:trPr/>
        <w:tc>
          <w:tcPr>
            <w:tcW w:w="2168" w:type="dxa"/>
            <w:tcBorders/>
            <w:vAlign w:val="center"/>
          </w:tcPr>
          <w:p>
            <w:pPr>
              <w:pStyle w:val="TableContents"/>
              <w:bidi w:val="0"/>
              <w:spacing w:before="120" w:after="120"/>
              <w:jc w:val="start"/>
              <w:rPr/>
            </w:pPr>
            <w:r>
              <w:rPr/>
              <w:t>Monitor / structural vulnerability</w:t>
            </w:r>
          </w:p>
        </w:tc>
        <w:tc>
          <w:tcPr>
            <w:tcW w:w="2299" w:type="dxa"/>
            <w:tcBorders/>
            <w:vAlign w:val="center"/>
          </w:tcPr>
          <w:p>
            <w:pPr>
              <w:pStyle w:val="TableContents"/>
              <w:bidi w:val="0"/>
              <w:spacing w:before="120" w:after="120"/>
              <w:jc w:val="start"/>
              <w:rPr/>
            </w:pPr>
            <w:r>
              <w:rPr/>
              <w:t>Interest-rate and funding risk elevated but not converged.</w:t>
            </w:r>
          </w:p>
        </w:tc>
        <w:tc>
          <w:tcPr>
            <w:tcW w:w="3351" w:type="dxa"/>
            <w:tcBorders/>
            <w:vAlign w:val="center"/>
          </w:tcPr>
          <w:p>
            <w:pPr>
              <w:pStyle w:val="TableContents"/>
              <w:bidi w:val="0"/>
              <w:spacing w:before="120" w:after="120"/>
              <w:jc w:val="start"/>
              <w:rPr/>
            </w:pPr>
            <w:r>
              <w:rPr/>
              <w:t>Map deposits, uninsured balances, payroll dependence, credit facilities, and banking concentration.</w:t>
            </w:r>
          </w:p>
        </w:tc>
      </w:tr>
      <w:tr>
        <w:trPr/>
        <w:tc>
          <w:tcPr>
            <w:tcW w:w="2168" w:type="dxa"/>
            <w:tcBorders/>
            <w:vAlign w:val="center"/>
          </w:tcPr>
          <w:p>
            <w:pPr>
              <w:pStyle w:val="TableContents"/>
              <w:bidi w:val="0"/>
              <w:spacing w:before="120" w:after="120"/>
              <w:jc w:val="start"/>
              <w:rPr/>
            </w:pPr>
            <w:r>
              <w:rPr/>
              <w:t>Counterparty watch</w:t>
            </w:r>
          </w:p>
        </w:tc>
        <w:tc>
          <w:tcPr>
            <w:tcW w:w="2299" w:type="dxa"/>
            <w:tcBorders/>
            <w:vAlign w:val="center"/>
          </w:tcPr>
          <w:p>
            <w:pPr>
              <w:pStyle w:val="TableContents"/>
              <w:bidi w:val="0"/>
              <w:spacing w:before="120" w:after="120"/>
              <w:jc w:val="start"/>
              <w:rPr/>
            </w:pPr>
            <w:r>
              <w:rPr/>
              <w:t>Financial pressure rises or negative bank-specific signals persist.</w:t>
            </w:r>
          </w:p>
        </w:tc>
        <w:tc>
          <w:tcPr>
            <w:tcW w:w="3351" w:type="dxa"/>
            <w:tcBorders/>
            <w:vAlign w:val="center"/>
          </w:tcPr>
          <w:p>
            <w:pPr>
              <w:pStyle w:val="TableContents"/>
              <w:bidi w:val="0"/>
              <w:spacing w:before="120" w:after="120"/>
              <w:jc w:val="start"/>
              <w:rPr/>
            </w:pPr>
            <w:r>
              <w:rPr/>
              <w:t>Increase treasury cadence; test alternate banking, liquidity, and payment routes.</w:t>
            </w:r>
          </w:p>
        </w:tc>
      </w:tr>
      <w:tr>
        <w:trPr/>
        <w:tc>
          <w:tcPr>
            <w:tcW w:w="2168" w:type="dxa"/>
            <w:tcBorders/>
            <w:vAlign w:val="center"/>
          </w:tcPr>
          <w:p>
            <w:pPr>
              <w:pStyle w:val="TableContents"/>
              <w:bidi w:val="0"/>
              <w:spacing w:before="120" w:after="120"/>
              <w:jc w:val="start"/>
              <w:rPr/>
            </w:pPr>
            <w:r>
              <w:rPr/>
              <w:t>Confidence alert</w:t>
            </w:r>
          </w:p>
        </w:tc>
        <w:tc>
          <w:tcPr>
            <w:tcW w:w="2299" w:type="dxa"/>
            <w:tcBorders/>
            <w:vAlign w:val="center"/>
          </w:tcPr>
          <w:p>
            <w:pPr>
              <w:pStyle w:val="TableContents"/>
              <w:bidi w:val="0"/>
              <w:spacing w:before="120" w:after="120"/>
              <w:jc w:val="start"/>
              <w:rPr/>
            </w:pPr>
            <w:r>
              <w:rPr/>
              <w:t>Market pressure and public/narrative concern accelerate together.</w:t>
            </w:r>
          </w:p>
        </w:tc>
        <w:tc>
          <w:tcPr>
            <w:tcW w:w="3351" w:type="dxa"/>
            <w:tcBorders/>
            <w:vAlign w:val="center"/>
          </w:tcPr>
          <w:p>
            <w:pPr>
              <w:pStyle w:val="TableContents"/>
              <w:bidi w:val="0"/>
              <w:spacing w:before="120" w:after="120"/>
              <w:jc w:val="start"/>
              <w:rPr/>
            </w:pPr>
            <w:r>
              <w:rPr/>
              <w:t>Move excess operating cash where legally and operationally appropriate; brief leadership; prepare stakeholder communications.</w:t>
            </w:r>
          </w:p>
        </w:tc>
      </w:tr>
      <w:tr>
        <w:trPr/>
        <w:tc>
          <w:tcPr>
            <w:tcW w:w="2168" w:type="dxa"/>
            <w:tcBorders/>
            <w:vAlign w:val="center"/>
          </w:tcPr>
          <w:p>
            <w:pPr>
              <w:pStyle w:val="TableContents"/>
              <w:bidi w:val="0"/>
              <w:spacing w:before="120" w:after="120"/>
              <w:jc w:val="start"/>
              <w:rPr/>
            </w:pPr>
            <w:r>
              <w:rPr/>
              <w:t>Systemic-financial alert</w:t>
            </w:r>
          </w:p>
        </w:tc>
        <w:tc>
          <w:tcPr>
            <w:tcW w:w="2299" w:type="dxa"/>
            <w:tcBorders/>
            <w:vAlign w:val="center"/>
          </w:tcPr>
          <w:p>
            <w:pPr>
              <w:pStyle w:val="TableContents"/>
              <w:bidi w:val="0"/>
              <w:spacing w:before="120" w:after="120"/>
              <w:jc w:val="start"/>
              <w:rPr/>
            </w:pPr>
            <w:r>
              <w:rPr/>
              <w:t>Run dynamics, regulatory intervention, or cross-bank contagion becomes visible.</w:t>
            </w:r>
          </w:p>
        </w:tc>
        <w:tc>
          <w:tcPr>
            <w:tcW w:w="3351" w:type="dxa"/>
            <w:tcBorders/>
            <w:vAlign w:val="center"/>
          </w:tcPr>
          <w:p>
            <w:pPr>
              <w:pStyle w:val="TableContents"/>
              <w:bidi w:val="0"/>
              <w:spacing w:before="120" w:after="120"/>
              <w:jc w:val="start"/>
              <w:rPr/>
            </w:pPr>
            <w:r>
              <w:rPr/>
              <w:t>Activate payroll, vendor-payment, liquidity, and customer-support contingencies.</w:t>
            </w:r>
          </w:p>
        </w:tc>
      </w:tr>
      <w:tr>
        <w:trPr/>
        <w:tc>
          <w:tcPr>
            <w:tcW w:w="2168" w:type="dxa"/>
            <w:tcBorders/>
            <w:vAlign w:val="center"/>
          </w:tcPr>
          <w:p>
            <w:pPr>
              <w:pStyle w:val="TableContents"/>
              <w:bidi w:val="0"/>
              <w:spacing w:before="120" w:after="120"/>
              <w:jc w:val="start"/>
              <w:rPr/>
            </w:pPr>
            <w:r>
              <w:rPr/>
              <w:t>Stabilization watch</w:t>
            </w:r>
          </w:p>
        </w:tc>
        <w:tc>
          <w:tcPr>
            <w:tcW w:w="2299" w:type="dxa"/>
            <w:tcBorders/>
            <w:vAlign w:val="center"/>
          </w:tcPr>
          <w:p>
            <w:pPr>
              <w:pStyle w:val="TableContents"/>
              <w:bidi w:val="0"/>
              <w:spacing w:before="120" w:after="120"/>
              <w:jc w:val="start"/>
              <w:rPr/>
            </w:pPr>
            <w:r>
              <w:rPr/>
              <w:t>Government protection and resolution measures are announced.</w:t>
            </w:r>
          </w:p>
        </w:tc>
        <w:tc>
          <w:tcPr>
            <w:tcW w:w="3351" w:type="dxa"/>
            <w:tcBorders/>
            <w:vAlign w:val="center"/>
          </w:tcPr>
          <w:p>
            <w:pPr>
              <w:pStyle w:val="TableContents"/>
              <w:bidi w:val="0"/>
              <w:spacing w:before="120" w:after="120"/>
              <w:jc w:val="start"/>
              <w:rPr/>
            </w:pPr>
            <w:r>
              <w:rPr/>
              <w:t>Verify access rather than assume it; monitor counterparties and secondary banking effects.</w:t>
            </w:r>
          </w:p>
        </w:tc>
      </w:tr>
    </w:tbl>
    <w:p>
      <w:pPr>
        <w:pStyle w:val="Heading2"/>
        <w:bidi w:val="0"/>
        <w:jc w:val="start"/>
        <w:rPr/>
      </w:pPr>
      <w:r>
        <w:rPr/>
        <w:t>Important Data and Attribution Notes</w:t>
      </w:r>
    </w:p>
    <w:p>
      <w:pPr>
        <w:pStyle w:val="BodyText"/>
        <w:numPr>
          <w:ilvl w:val="0"/>
          <w:numId w:val="2"/>
        </w:numPr>
        <w:tabs>
          <w:tab w:val="clear" w:pos="1134"/>
          <w:tab w:val="left" w:pos="829" w:leader="none"/>
        </w:tabs>
        <w:bidi w:val="0"/>
        <w:spacing w:before="120" w:after="0"/>
        <w:ind w:hanging="283" w:start="829"/>
        <w:jc w:val="start"/>
        <w:rPr/>
      </w:pPr>
      <w:r>
        <w:rPr/>
        <w:t>All Talosai values, lead times, correlations, and forecast claims must come from archived as-of outputs. No retrospective value should be presented as if it were available earlier.</w:t>
      </w:r>
    </w:p>
    <w:p>
      <w:pPr>
        <w:pStyle w:val="BodyText"/>
        <w:numPr>
          <w:ilvl w:val="0"/>
          <w:numId w:val="2"/>
        </w:numPr>
        <w:tabs>
          <w:tab w:val="clear" w:pos="1134"/>
          <w:tab w:val="left" w:pos="829" w:leader="none"/>
        </w:tabs>
        <w:bidi w:val="0"/>
        <w:spacing w:before="120" w:after="0"/>
        <w:ind w:hanging="283" w:start="829"/>
        <w:jc w:val="start"/>
        <w:rPr/>
      </w:pPr>
      <w:r>
        <w:rPr/>
        <w:t>The analysis window should be confirmed against actual data availability before charts or lead-time calculations are produced.</w:t>
      </w:r>
    </w:p>
    <w:p>
      <w:pPr>
        <w:pStyle w:val="BodyText"/>
        <w:numPr>
          <w:ilvl w:val="0"/>
          <w:numId w:val="2"/>
        </w:numPr>
        <w:tabs>
          <w:tab w:val="clear" w:pos="1134"/>
          <w:tab w:val="left" w:pos="829" w:leader="none"/>
        </w:tabs>
        <w:bidi w:val="0"/>
        <w:spacing w:before="120" w:after="0"/>
        <w:ind w:hanging="283" w:start="829"/>
        <w:jc w:val="start"/>
        <w:rPr/>
      </w:pPr>
      <w:r>
        <w:rPr/>
        <w:t>Event dates are reference anchors. They do not prove that a contemporaneous signal predicted the event.</w:t>
      </w:r>
    </w:p>
    <w:p>
      <w:pPr>
        <w:pStyle w:val="BodyText"/>
        <w:numPr>
          <w:ilvl w:val="0"/>
          <w:numId w:val="2"/>
        </w:numPr>
        <w:tabs>
          <w:tab w:val="clear" w:pos="1134"/>
          <w:tab w:val="left" w:pos="829" w:leader="none"/>
        </w:tabs>
        <w:bidi w:val="0"/>
        <w:spacing w:before="120" w:after="0"/>
        <w:ind w:hanging="283" w:start="829"/>
        <w:jc w:val="start"/>
        <w:rPr/>
      </w:pPr>
      <w:r>
        <w:rPr/>
        <w:t>Public-search behavior may be sparse, language-dependent, geographically uneven, or affected by access restrictions. Topic-level spikes can be more informative than a broad composite.</w:t>
      </w:r>
    </w:p>
    <w:p>
      <w:pPr>
        <w:pStyle w:val="BodyText"/>
        <w:numPr>
          <w:ilvl w:val="0"/>
          <w:numId w:val="2"/>
        </w:numPr>
        <w:tabs>
          <w:tab w:val="clear" w:pos="1134"/>
          <w:tab w:val="left" w:pos="829" w:leader="none"/>
        </w:tabs>
        <w:bidi w:val="0"/>
        <w:spacing w:before="120" w:after="0"/>
        <w:ind w:hanging="283" w:start="829"/>
        <w:jc w:val="start"/>
        <w:rPr/>
      </w:pPr>
      <w:r>
        <w:rPr/>
        <w:t>Narrative volume can be affected by unrelated major news. Domain attribution and source composition should be reviewed before making causal claims.</w:t>
      </w:r>
    </w:p>
    <w:p>
      <w:pPr>
        <w:pStyle w:val="BodyText"/>
        <w:numPr>
          <w:ilvl w:val="0"/>
          <w:numId w:val="2"/>
        </w:numPr>
        <w:tabs>
          <w:tab w:val="clear" w:pos="1134"/>
          <w:tab w:val="left" w:pos="829" w:leader="none"/>
        </w:tabs>
        <w:bidi w:val="0"/>
        <w:spacing w:before="120" w:after="0"/>
        <w:ind w:hanging="283" w:start="829"/>
        <w:jc w:val="start"/>
        <w:rPr/>
      </w:pPr>
      <w:r>
        <w:rPr/>
        <w:t>A non-confirming stream is a result, not a defect. It can help classify the crisis pathway and prevent an over-scaled response.</w:t>
      </w:r>
    </w:p>
    <w:p>
      <w:pPr>
        <w:pStyle w:val="BodyText"/>
        <w:numPr>
          <w:ilvl w:val="0"/>
          <w:numId w:val="2"/>
        </w:numPr>
        <w:tabs>
          <w:tab w:val="clear" w:pos="1134"/>
          <w:tab w:val="left" w:pos="829" w:leader="none"/>
        </w:tabs>
        <w:bidi w:val="0"/>
        <w:spacing w:before="120" w:after="0"/>
        <w:ind w:hanging="283" w:start="829"/>
        <w:jc w:val="start"/>
        <w:rPr/>
      </w:pPr>
      <w:r>
        <w:rPr/>
        <w:t>The public release should show output-level values and documented limitations without disclosing raw queries, source-selection logic, model features, weights, or proprietary scoring methods.</w:t>
      </w:r>
    </w:p>
    <w:p>
      <w:pPr>
        <w:pStyle w:val="BodyText"/>
        <w:numPr>
          <w:ilvl w:val="0"/>
          <w:numId w:val="2"/>
        </w:numPr>
        <w:tabs>
          <w:tab w:val="clear" w:pos="1134"/>
          <w:tab w:val="left" w:pos="829" w:leader="none"/>
        </w:tabs>
        <w:bidi w:val="0"/>
        <w:ind w:hanging="283" w:start="829"/>
        <w:jc w:val="start"/>
        <w:rPr/>
      </w:pPr>
      <w:r>
        <w:rPr/>
        <w:t>Casualty and operational figures can change after initial reporting. Use dated attribution and avoid mixing figures from different reporting cutoffs.</w:t>
      </w:r>
    </w:p>
    <w:p>
      <w:pPr>
        <w:pStyle w:val="Heading2"/>
        <w:bidi w:val="0"/>
        <w:jc w:val="start"/>
        <w:rPr/>
      </w:pPr>
      <w:r>
        <w:rPr/>
        <w:t>Draft Conclusion</w:t>
      </w:r>
    </w:p>
    <w:p>
      <w:pPr>
        <w:pStyle w:val="BodyText"/>
        <w:bidi w:val="0"/>
        <w:jc w:val="start"/>
        <w:rPr/>
      </w:pPr>
      <w:r>
        <w:rPr/>
        <w:t>This case provides a structured test of whether Talosai improved decision timing and systemic understanding. The final conclusion should state exactly when the first supported signal appeared, which streams led or lagged, whether independent domains converged, and what operational posture the evidence justified. If advance warning is not supported, the conclusion should say so directly and explain the value Talosai provided through rapid confirmation, source-reliability interpretation, or sustained crisis monitoring.</w:t>
      </w:r>
    </w:p>
    <w:p>
      <w:pPr>
        <w:pStyle w:val="BodyText"/>
        <w:bidi w:val="0"/>
        <w:jc w:val="start"/>
        <w:rPr/>
      </w:pPr>
      <w:r>
        <w:rPr/>
        <w:t>[TALOSAI DATA REQUIRED: Insert a case-specific, evidence-based conclusion after completing the quantitative tables and figures.]</w:t>
      </w:r>
    </w:p>
    <w:p>
      <w:pPr>
        <w:pStyle w:val="Heading2"/>
        <w:bidi w:val="0"/>
        <w:jc w:val="start"/>
        <w:rPr/>
      </w:pPr>
      <w:r>
        <w:rPr/>
        <w:t>Case-Study Takeaway</w:t>
      </w:r>
    </w:p>
    <w:p>
      <w:pPr>
        <w:pStyle w:val="BodyText"/>
        <w:bidi w:val="0"/>
        <w:jc w:val="start"/>
        <w:rPr/>
      </w:pPr>
      <w:r>
        <w:rPr/>
        <w:t>[FINAL TAKEAWAY TO COMPLETE AFTER DATA INTEGRATION] Talosai’s value should be expressed as a calibrated finding about earlier decision timing, faster systemic confirmation, signal-reliability interpretation, or sustained posture management—whichever the archived outputs actually support.</w:t>
      </w:r>
    </w:p>
    <w:p>
      <w:pPr>
        <w:pStyle w:val="Heading2"/>
        <w:bidi w:val="0"/>
        <w:jc w:val="start"/>
        <w:rPr/>
      </w:pPr>
      <w:r>
        <w:rPr/>
        <w:t>Reference Sources Used for Event Anchors</w:t>
      </w:r>
    </w:p>
    <w:tbl>
      <w:tblPr>
        <w:tblW w:w="7818" w:type="dxa"/>
        <w:jc w:val="start"/>
        <w:tblInd w:w="0" w:type="dxa"/>
        <w:tblLayout w:type="fixed"/>
        <w:tblCellMar>
          <w:top w:w="28" w:type="dxa"/>
          <w:start w:w="28" w:type="dxa"/>
          <w:bottom w:w="28" w:type="dxa"/>
          <w:end w:w="28" w:type="dxa"/>
        </w:tblCellMar>
      </w:tblPr>
      <w:tblGrid>
        <w:gridCol w:w="631"/>
        <w:gridCol w:w="1456"/>
        <w:gridCol w:w="5731"/>
      </w:tblGrid>
      <w:tr>
        <w:trPr>
          <w:tblHeader w:val="true"/>
        </w:trPr>
        <w:tc>
          <w:tcPr>
            <w:tcW w:w="631" w:type="dxa"/>
            <w:tcBorders/>
            <w:vAlign w:val="center"/>
          </w:tcPr>
          <w:p>
            <w:pPr>
              <w:pStyle w:val="TableHeading"/>
              <w:suppressLineNumbers/>
              <w:shd w:fill="133B4A" w:val="clear"/>
              <w:bidi w:val="0"/>
              <w:spacing w:before="120" w:after="120"/>
              <w:jc w:val="start"/>
              <w:rPr/>
            </w:pPr>
            <w:r>
              <w:rPr/>
              <w:t>Ref.</w:t>
            </w:r>
          </w:p>
        </w:tc>
        <w:tc>
          <w:tcPr>
            <w:tcW w:w="1456" w:type="dxa"/>
            <w:tcBorders/>
            <w:vAlign w:val="center"/>
          </w:tcPr>
          <w:p>
            <w:pPr>
              <w:pStyle w:val="TableHeading"/>
              <w:suppressLineNumbers/>
              <w:shd w:fill="133B4A" w:val="clear"/>
              <w:bidi w:val="0"/>
              <w:spacing w:before="120" w:after="120"/>
              <w:jc w:val="start"/>
              <w:rPr/>
            </w:pPr>
            <w:r>
              <w:rPr/>
              <w:t>Source</w:t>
            </w:r>
          </w:p>
        </w:tc>
        <w:tc>
          <w:tcPr>
            <w:tcW w:w="5731" w:type="dxa"/>
            <w:tcBorders/>
            <w:vAlign w:val="center"/>
          </w:tcPr>
          <w:p>
            <w:pPr>
              <w:pStyle w:val="TableHeading"/>
              <w:suppressLineNumbers/>
              <w:shd w:fill="133B4A" w:val="clear"/>
              <w:bidi w:val="0"/>
              <w:spacing w:before="120" w:after="120"/>
              <w:jc w:val="start"/>
              <w:rPr/>
            </w:pPr>
            <w:r>
              <w:rPr/>
              <w:t>Link</w:t>
            </w:r>
          </w:p>
        </w:tc>
      </w:tr>
      <w:tr>
        <w:trPr/>
        <w:tc>
          <w:tcPr>
            <w:tcW w:w="631" w:type="dxa"/>
            <w:tcBorders/>
            <w:vAlign w:val="center"/>
          </w:tcPr>
          <w:p>
            <w:pPr>
              <w:pStyle w:val="TableContents"/>
              <w:bidi w:val="0"/>
              <w:spacing w:before="120" w:after="120"/>
              <w:jc w:val="start"/>
              <w:rPr/>
            </w:pPr>
            <w:r>
              <w:rPr/>
              <w:t>R1</w:t>
            </w:r>
          </w:p>
        </w:tc>
        <w:tc>
          <w:tcPr>
            <w:tcW w:w="1456" w:type="dxa"/>
            <w:tcBorders/>
            <w:vAlign w:val="center"/>
          </w:tcPr>
          <w:p>
            <w:pPr>
              <w:pStyle w:val="TableContents"/>
              <w:bidi w:val="0"/>
              <w:spacing w:before="120" w:after="120"/>
              <w:jc w:val="start"/>
              <w:rPr/>
            </w:pPr>
            <w:r>
              <w:rPr/>
              <w:t>Board of Governors of the Federal Reserve System, “Review of the Federal Reserve’s Supervision and Regulation of Silicon Valley Bank—Key Takeaways,” 28 April 2023.</w:t>
            </w:r>
          </w:p>
        </w:tc>
        <w:tc>
          <w:tcPr>
            <w:tcW w:w="5731" w:type="dxa"/>
            <w:tcBorders/>
            <w:vAlign w:val="center"/>
          </w:tcPr>
          <w:p>
            <w:pPr>
              <w:pStyle w:val="TableContents"/>
              <w:bidi w:val="0"/>
              <w:spacing w:before="120" w:after="120"/>
              <w:jc w:val="start"/>
              <w:rPr/>
            </w:pPr>
            <w:r>
              <w:rPr/>
              <w:t>https://www.federalreserve.gov/publications/2023-April-SVB-Key-Takeaways.htm</w:t>
            </w:r>
          </w:p>
        </w:tc>
      </w:tr>
      <w:tr>
        <w:trPr/>
        <w:tc>
          <w:tcPr>
            <w:tcW w:w="631" w:type="dxa"/>
            <w:tcBorders/>
            <w:vAlign w:val="center"/>
          </w:tcPr>
          <w:p>
            <w:pPr>
              <w:pStyle w:val="TableContents"/>
              <w:bidi w:val="0"/>
              <w:spacing w:before="120" w:after="120"/>
              <w:jc w:val="start"/>
              <w:rPr/>
            </w:pPr>
            <w:r>
              <w:rPr/>
              <w:t>R2</w:t>
            </w:r>
          </w:p>
        </w:tc>
        <w:tc>
          <w:tcPr>
            <w:tcW w:w="1456" w:type="dxa"/>
            <w:tcBorders/>
            <w:vAlign w:val="center"/>
          </w:tcPr>
          <w:p>
            <w:pPr>
              <w:pStyle w:val="TableContents"/>
              <w:bidi w:val="0"/>
              <w:spacing w:before="120" w:after="120"/>
              <w:jc w:val="start"/>
              <w:rPr/>
            </w:pPr>
            <w:r>
              <w:rPr/>
              <w:t>Board of Governors of the Federal Reserve System, “Executive Summary,” 28 April 2023.</w:t>
            </w:r>
          </w:p>
        </w:tc>
        <w:tc>
          <w:tcPr>
            <w:tcW w:w="5731" w:type="dxa"/>
            <w:tcBorders/>
            <w:vAlign w:val="center"/>
          </w:tcPr>
          <w:p>
            <w:pPr>
              <w:pStyle w:val="TableContents"/>
              <w:bidi w:val="0"/>
              <w:spacing w:before="120" w:after="120"/>
              <w:jc w:val="start"/>
              <w:rPr/>
            </w:pPr>
            <w:r>
              <w:rPr/>
              <w:t>https://www.federalreserve.gov/publications/2023-April-SVB-Executive-Summary.htm</w:t>
            </w:r>
          </w:p>
        </w:tc>
      </w:tr>
      <w:tr>
        <w:trPr/>
        <w:tc>
          <w:tcPr>
            <w:tcW w:w="631" w:type="dxa"/>
            <w:tcBorders/>
            <w:vAlign w:val="center"/>
          </w:tcPr>
          <w:p>
            <w:pPr>
              <w:pStyle w:val="TableContents"/>
              <w:bidi w:val="0"/>
              <w:spacing w:before="120" w:after="120"/>
              <w:jc w:val="start"/>
              <w:rPr/>
            </w:pPr>
            <w:r>
              <w:rPr/>
              <w:t>R3</w:t>
            </w:r>
          </w:p>
        </w:tc>
        <w:tc>
          <w:tcPr>
            <w:tcW w:w="1456" w:type="dxa"/>
            <w:tcBorders/>
            <w:vAlign w:val="center"/>
          </w:tcPr>
          <w:p>
            <w:pPr>
              <w:pStyle w:val="TableContents"/>
              <w:bidi w:val="0"/>
              <w:spacing w:before="120" w:after="120"/>
              <w:jc w:val="start"/>
              <w:rPr/>
            </w:pPr>
            <w:r>
              <w:rPr/>
              <w:t>Federal Deposit Insurance Corporation, “Silicon Valley Bank, Santa Clara, California,” failed-bank information.</w:t>
            </w:r>
          </w:p>
        </w:tc>
        <w:tc>
          <w:tcPr>
            <w:tcW w:w="5731" w:type="dxa"/>
            <w:tcBorders/>
            <w:vAlign w:val="center"/>
          </w:tcPr>
          <w:p>
            <w:pPr>
              <w:pStyle w:val="TableContents"/>
              <w:bidi w:val="0"/>
              <w:spacing w:before="120" w:after="120"/>
              <w:jc w:val="start"/>
              <w:rPr/>
            </w:pPr>
            <w:r>
              <w:rPr/>
              <w:t>https://www.fdic.gov/resources/resolutions/bank-failures/failed-bank-list/silicon-valley.html</w:t>
            </w:r>
          </w:p>
        </w:tc>
      </w:tr>
      <w:tr>
        <w:trPr/>
        <w:tc>
          <w:tcPr>
            <w:tcW w:w="631" w:type="dxa"/>
            <w:tcBorders/>
            <w:vAlign w:val="center"/>
          </w:tcPr>
          <w:p>
            <w:pPr>
              <w:pStyle w:val="TableContents"/>
              <w:bidi w:val="0"/>
              <w:spacing w:before="120" w:after="120"/>
              <w:jc w:val="start"/>
              <w:rPr/>
            </w:pPr>
            <w:r>
              <w:rPr/>
              <w:t>R4</w:t>
            </w:r>
          </w:p>
        </w:tc>
        <w:tc>
          <w:tcPr>
            <w:tcW w:w="1456" w:type="dxa"/>
            <w:tcBorders/>
            <w:vAlign w:val="center"/>
          </w:tcPr>
          <w:p>
            <w:pPr>
              <w:pStyle w:val="TableContents"/>
              <w:bidi w:val="0"/>
              <w:spacing w:before="120" w:after="120"/>
              <w:jc w:val="start"/>
              <w:rPr/>
            </w:pPr>
            <w:r>
              <w:rPr/>
              <w:t>U.S. Treasury, Federal Reserve, and FDIC, Joint Statement, 12 March 2023.</w:t>
            </w:r>
          </w:p>
        </w:tc>
        <w:tc>
          <w:tcPr>
            <w:tcW w:w="5731" w:type="dxa"/>
            <w:tcBorders/>
            <w:vAlign w:val="center"/>
          </w:tcPr>
          <w:p>
            <w:pPr>
              <w:pStyle w:val="TableContents"/>
              <w:bidi w:val="0"/>
              <w:spacing w:before="120" w:after="120"/>
              <w:jc w:val="start"/>
              <w:rPr/>
            </w:pPr>
            <w:r>
              <w:rPr/>
              <w:t>https://www.fdic.gov/news/press-releases/2023/pr23017.html</w:t>
            </w:r>
          </w:p>
        </w:tc>
      </w:tr>
      <w:tr>
        <w:trPr/>
        <w:tc>
          <w:tcPr>
            <w:tcW w:w="631" w:type="dxa"/>
            <w:tcBorders/>
            <w:vAlign w:val="center"/>
          </w:tcPr>
          <w:p>
            <w:pPr>
              <w:pStyle w:val="TableContents"/>
              <w:bidi w:val="0"/>
              <w:spacing w:before="120" w:after="120"/>
              <w:jc w:val="start"/>
              <w:rPr/>
            </w:pPr>
            <w:r>
              <w:rPr/>
              <w:t>R5</w:t>
            </w:r>
          </w:p>
        </w:tc>
        <w:tc>
          <w:tcPr>
            <w:tcW w:w="1456" w:type="dxa"/>
            <w:tcBorders/>
            <w:vAlign w:val="center"/>
          </w:tcPr>
          <w:p>
            <w:pPr>
              <w:pStyle w:val="TableContents"/>
              <w:bidi w:val="0"/>
              <w:spacing w:before="120" w:after="120"/>
              <w:jc w:val="start"/>
              <w:rPr/>
            </w:pPr>
            <w:r>
              <w:rPr/>
              <w:t>Federal Reserve Office of Inspector General, “Material Loss Review of Silicon Valley Bank,” September 2023.</w:t>
            </w:r>
          </w:p>
        </w:tc>
        <w:tc>
          <w:tcPr>
            <w:tcW w:w="5731" w:type="dxa"/>
            <w:tcBorders/>
            <w:vAlign w:val="center"/>
          </w:tcPr>
          <w:p>
            <w:pPr>
              <w:pStyle w:val="TableContents"/>
              <w:bidi w:val="0"/>
              <w:spacing w:before="120" w:after="120"/>
              <w:jc w:val="start"/>
              <w:rPr/>
            </w:pPr>
            <w:r>
              <w:rPr/>
              <w:t>https://oig.federalreserve.gov/reports/board-material-loss-review-silicon-valley-bank-sep2023.htm</w:t>
            </w:r>
          </w:p>
        </w:tc>
      </w:tr>
    </w:tbl>
    <w:p>
      <w:pPr>
        <w:pStyle w:val="BodyTextend"/>
        <w:bidi w:val="0"/>
        <w:spacing w:before="600" w:after="120"/>
        <w:rPr/>
      </w:pPr>
      <w:r>
        <w:rPr/>
        <w:t>End of draft manuscript</w:t>
      </w:r>
    </w:p>
    <w:sectPr>
      <w:type w:val="nextPage"/>
      <w:pgSz w:w="11906" w:h="16838"/>
      <w:pgMar w:left="1037" w:right="1037" w:gutter="0" w:header="0" w:top="1037" w:footer="0" w:bottom="1037"/>
      <w:pgNumType w:fmt="decimal"/>
      <w:formProt w:val="false"/>
      <w:textDirection w:val="lrTb"/>
      <w:docGrid w:type="default" w:linePitch="600" w:charSpace="38911"/>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Aptos">
    <w:altName w:val="Calibri"/>
    <w:charset w:val="01" w:characterSet="utf-8"/>
    <w:family w:val="auto"/>
    <w:pitch w:val="default"/>
  </w:font>
  <w:font w:name="Noto Sans">
    <w:charset w:val="01" w:characterSet="utf-8"/>
    <w:family w:val="auto"/>
    <w:pitch w:val="variable"/>
  </w:font>
  <w:font w:name="OpenSymbol">
    <w:altName w:val="Arial Unicode MS"/>
    <w:charset w:val="02"/>
    <w:family w:val="auto"/>
    <w:pitch w:val="default"/>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
    <w:lvl w:ilvl="0">
      <w:start w:val="1"/>
      <w:numFmt w:val="none"/>
      <w:suff w:val="nothing"/>
      <w:lvlText w:val="%1"/>
      <w:lvlJc w:val="start"/>
      <w:pPr>
        <w:tabs>
          <w:tab w:val="num" w:pos="0"/>
        </w:tabs>
        <w:ind w:start="0" w:hanging="0"/>
      </w:pPr>
    </w:lvl>
    <w:lvl w:ilvl="1">
      <w:start w:val="1"/>
      <w:pStyle w:val="Heading2"/>
      <w:numFmt w:val="none"/>
      <w:suff w:val="nothing"/>
      <w:lvlText w:val="%2"/>
      <w:lvlJc w:val="start"/>
      <w:pPr>
        <w:tabs>
          <w:tab w:val="num" w:pos="0"/>
        </w:tabs>
        <w:ind w:start="0" w:hanging="0"/>
      </w:pPr>
    </w:lvl>
    <w:lvl w:ilvl="2">
      <w:start w:val="1"/>
      <w:numFmt w:val="none"/>
      <w:suff w:val="nothing"/>
      <w:lvlText w:val="%3"/>
      <w:lvlJc w:val="start"/>
      <w:pPr>
        <w:tabs>
          <w:tab w:val="num" w:pos="0"/>
        </w:tabs>
        <w:ind w:start="0" w:hanging="0"/>
      </w:pPr>
    </w:lvl>
    <w:lvl w:ilvl="3">
      <w:start w:val="1"/>
      <w:numFmt w:val="none"/>
      <w:suff w:val="nothing"/>
      <w:lvlText w:val="%4"/>
      <w:lvlJc w:val="start"/>
      <w:pPr>
        <w:tabs>
          <w:tab w:val="num" w:pos="0"/>
        </w:tabs>
        <w:ind w:start="0" w:hanging="0"/>
      </w:pPr>
    </w:lvl>
    <w:lvl w:ilvl="4">
      <w:start w:val="1"/>
      <w:numFmt w:val="none"/>
      <w:suff w:val="nothing"/>
      <w:lvlText w:val="%5"/>
      <w:lvlJc w:val="start"/>
      <w:pPr>
        <w:tabs>
          <w:tab w:val="num" w:pos="0"/>
        </w:tabs>
        <w:ind w:start="0" w:hanging="0"/>
      </w:pPr>
    </w:lvl>
    <w:lvl w:ilvl="5">
      <w:start w:val="1"/>
      <w:numFmt w:val="none"/>
      <w:suff w:val="nothing"/>
      <w:lvlText w:val="%6"/>
      <w:lvlJc w:val="start"/>
      <w:pPr>
        <w:tabs>
          <w:tab w:val="num" w:pos="0"/>
        </w:tabs>
        <w:ind w:start="0" w:hanging="0"/>
      </w:pPr>
    </w:lvl>
    <w:lvl w:ilvl="6">
      <w:start w:val="1"/>
      <w:numFmt w:val="none"/>
      <w:suff w:val="nothing"/>
      <w:lvlText w:val="%7"/>
      <w:lvlJc w:val="start"/>
      <w:pPr>
        <w:tabs>
          <w:tab w:val="num" w:pos="0"/>
        </w:tabs>
        <w:ind w:start="0" w:hanging="0"/>
      </w:pPr>
    </w:lvl>
    <w:lvl w:ilvl="7">
      <w:start w:val="1"/>
      <w:numFmt w:val="none"/>
      <w:suff w:val="nothing"/>
      <w:lvlText w:val="%8"/>
      <w:lvlJc w:val="start"/>
      <w:pPr>
        <w:tabs>
          <w:tab w:val="num" w:pos="0"/>
        </w:tabs>
        <w:ind w:start="0" w:hanging="0"/>
      </w:pPr>
    </w:lvl>
    <w:lvl w:ilvl="8">
      <w:start w:val="1"/>
      <w:numFmt w:val="none"/>
      <w:suff w:val="nothing"/>
      <w:lvlText w:val="%9"/>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view w:val="web"/>
  <w:zoom w:percent="100"/>
  <w:defaultTabStop w:val="1134"/>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sz w:val="24"/>
        <w:szCs w:val="24"/>
        <w:lang w:val="en-US" w:eastAsia="zh-CN" w:bidi="hi-IN"/>
      </w:rPr>
    </w:rPrDefault>
    <w:pPrDefault>
      <w:pPr>
        <w:suppressAutoHyphens w:val="true"/>
      </w:pPr>
    </w:pPrDefault>
  </w:docDefaults>
  <w:style w:type="paragraph" w:styleId="Normal">
    <w:name w:val="Normal"/>
    <w:qFormat/>
    <w:pPr>
      <w:widowControl w:val="false"/>
      <w:bidi w:val="0"/>
      <w:spacing w:lineRule="auto" w:line="324"/>
    </w:pPr>
    <w:rPr>
      <w:rFonts w:ascii="Aptos;Calibri;Arial;sans-serif" w:hAnsi="Aptos;Calibri;Arial;sans-serif" w:eastAsia="Aptos;Calibri;Arial;sans-serif" w:cs="Aptos;Calibri;Arial;sans-serif"/>
      <w:color w:val="1D2A32"/>
      <w:sz w:val="21"/>
      <w:szCs w:val="21"/>
      <w:lang w:val="en-US" w:eastAsia="zh-CN" w:bidi="hi-IN"/>
    </w:rPr>
  </w:style>
  <w:style w:type="paragraph" w:styleId="Heading1">
    <w:name w:val="Heading 1"/>
    <w:basedOn w:val="Heading"/>
    <w:next w:val="BodyText"/>
    <w:qFormat/>
    <w:pPr>
      <w:pBdr>
        <w:bottom w:val="single" w:sz="18" w:space="12" w:color="C49A5A"/>
      </w:pBdr>
      <w:spacing w:before="240" w:after="240"/>
    </w:pPr>
    <w:rPr>
      <w:rFonts w:ascii="Noto Sans" w:hAnsi="Noto Sans"/>
      <w:b/>
      <w:bCs/>
      <w:color w:val="133B4A"/>
      <w:sz w:val="50"/>
      <w:szCs w:val="50"/>
    </w:rPr>
  </w:style>
  <w:style w:type="paragraph" w:styleId="Heading2">
    <w:name w:val="Heading 2"/>
    <w:basedOn w:val="Heading"/>
    <w:next w:val="BodyText"/>
    <w:qFormat/>
    <w:pPr>
      <w:keepNext w:val="true"/>
      <w:pBdr>
        <w:bottom w:val="single" w:sz="2" w:space="4" w:color="C9D4D8"/>
      </w:pBdr>
      <w:spacing w:before="440" w:after="120"/>
      <w:outlineLvl w:val="1"/>
    </w:pPr>
    <w:rPr>
      <w:rFonts w:ascii="Liberation Serif" w:hAnsi="Liberation Serif" w:eastAsia="Noto Serif CJK SC" w:cs="Noto Sans Devanagari"/>
      <w:b/>
      <w:bCs/>
      <w:color w:val="133B4A"/>
      <w:sz w:val="32"/>
      <w:szCs w:val="32"/>
    </w:rPr>
  </w:style>
  <w:style w:type="character" w:styleId="EndnoteCharacters">
    <w:name w:val="Endnote Characters"/>
    <w:qFormat/>
    <w:rPr/>
  </w:style>
  <w:style w:type="character" w:styleId="FootnoteCharacters">
    <w:name w:val="Footnote Characters"/>
    <w:qFormat/>
    <w:rPr/>
  </w:style>
  <w:style w:type="character" w:styleId="Hyperlink">
    <w:name w:val="Hyperlink"/>
    <w:rPr>
      <w:color w:val="1B5F78"/>
      <w:u w:val="single"/>
    </w:rPr>
  </w:style>
  <w:style w:type="character" w:styleId="Bullets">
    <w:name w:val="Bullets"/>
    <w:qFormat/>
    <w:rPr>
      <w:rFonts w:ascii="OpenSymbol" w:hAnsi="OpenSymbol" w:eastAsia="OpenSymbol" w:cs="OpenSymbol"/>
    </w:rPr>
  </w:style>
  <w:style w:type="character" w:styleId="FollowedHyperlink">
    <w:name w:val="FollowedHyperlink"/>
    <w:rPr>
      <w:color w:val="1B5F78"/>
      <w:u w:val="single"/>
    </w:rPr>
  </w:style>
  <w:style w:type="paragraph" w:styleId="HorizontalLine">
    <w:name w:val="Horizontal Line"/>
    <w:basedOn w:val="Normal"/>
    <w:next w:val="BodyText"/>
    <w:qFormat/>
    <w:pPr>
      <w:pBdr>
        <w:bottom w:val="double" w:sz="2" w:space="0" w:color="808080"/>
      </w:pBdr>
      <w:spacing w:before="0" w:after="283"/>
    </w:pPr>
    <w:rPr>
      <w:sz w:val="12"/>
    </w:rPr>
  </w:style>
  <w:style w:type="paragraph" w:styleId="EnvelopeReturn">
    <w:name w:val="Envelope Return"/>
    <w:basedOn w:val="Normal"/>
    <w:pPr/>
    <w:rPr>
      <w:i/>
    </w:rPr>
  </w:style>
  <w:style w:type="paragraph" w:styleId="TableContents">
    <w:name w:val="Table Contents"/>
    <w:basedOn w:val="BodyText"/>
    <w:qFormat/>
    <w:pPr/>
    <w:rPr/>
  </w:style>
  <w:style w:type="paragraph" w:styleId="Footer">
    <w:name w:val="Footer"/>
    <w:basedOn w:val="Normal"/>
    <w:pPr>
      <w:suppressLineNumbers/>
      <w:tabs>
        <w:tab w:val="clear" w:pos="1134"/>
        <w:tab w:val="center" w:pos="4818" w:leader="none"/>
        <w:tab w:val="right" w:pos="9637" w:leader="none"/>
      </w:tabs>
    </w:pPr>
    <w:rPr/>
  </w:style>
  <w:style w:type="paragraph" w:styleId="Header">
    <w:name w:val="Header"/>
    <w:basedOn w:val="Normal"/>
    <w:pPr>
      <w:suppressLineNumbers/>
      <w:tabs>
        <w:tab w:val="clear" w:pos="1134"/>
        <w:tab w:val="center" w:pos="4818" w:leader="none"/>
        <w:tab w:val="right" w:pos="9637" w:leader="none"/>
      </w:tabs>
    </w:pPr>
    <w:rPr/>
  </w:style>
  <w:style w:type="paragraph" w:styleId="HeaderandFooter">
    <w:name w:val="Header and Footer"/>
    <w:basedOn w:val="Normal"/>
    <w:qFormat/>
    <w:pPr>
      <w:suppressLineNumbers/>
      <w:tabs>
        <w:tab w:val="clear" w:pos="1134"/>
        <w:tab w:val="center" w:pos="4819" w:leader="none"/>
        <w:tab w:val="right" w:pos="9638" w:leader="none"/>
      </w:tabs>
    </w:pPr>
    <w:rPr/>
  </w:style>
  <w:style w:type="paragraph" w:styleId="Index">
    <w:name w:val="Index"/>
    <w:basedOn w:val="Normal"/>
    <w:qFormat/>
    <w:pPr>
      <w:suppressLineNumbers/>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List">
    <w:name w:val="List"/>
    <w:basedOn w:val="BodyText"/>
    <w:pPr/>
    <w:rPr>
      <w:rFonts w:cs="Noto Sans Devanagari"/>
    </w:rPr>
  </w:style>
  <w:style w:type="paragraph" w:styleId="BodyText">
    <w:name w:val="Body Text"/>
    <w:basedOn w:val="Normal"/>
    <w:pPr>
      <w:spacing w:before="120" w:after="120"/>
      <w:ind w:start="120" w:end="120"/>
    </w:pPr>
    <w:rPr/>
  </w:style>
  <w:style w:type="paragraph" w:styleId="Heading">
    <w:name w:val="Heading"/>
    <w:basedOn w:val="Normal"/>
    <w:next w:val="BodyText"/>
    <w:qFormat/>
    <w:pPr>
      <w:keepNext w:val="true"/>
      <w:spacing w:before="240" w:after="283"/>
    </w:pPr>
    <w:rPr>
      <w:rFonts w:ascii="Liberation Sans" w:hAnsi="Liberation Sans"/>
      <w:sz w:val="28"/>
      <w:szCs w:val="28"/>
    </w:rPr>
  </w:style>
  <w:style w:type="paragraph" w:styleId="BodyTextbrand">
    <w:name w:val="Body Text.brand"/>
    <w:basedOn w:val="BodyText"/>
    <w:qFormat/>
    <w:pPr>
      <w:spacing w:before="120" w:after="200"/>
    </w:pPr>
    <w:rPr>
      <w:b/>
      <w:bCs/>
      <w:color w:val="C49A5A"/>
      <w:spacing w:val="60"/>
      <w:sz w:val="26"/>
      <w:szCs w:val="26"/>
    </w:rPr>
  </w:style>
  <w:style w:type="paragraph" w:styleId="BodyTextbyline">
    <w:name w:val="Body Text.byline"/>
    <w:basedOn w:val="BodyText"/>
    <w:qFormat/>
    <w:pPr/>
    <w:rPr>
      <w:b/>
      <w:bCs/>
      <w:sz w:val="24"/>
      <w:szCs w:val="24"/>
    </w:rPr>
  </w:style>
  <w:style w:type="paragraph" w:styleId="BodyTextdraft">
    <w:name w:val="Body Text.draft"/>
    <w:basedOn w:val="BodyText"/>
    <w:qFormat/>
    <w:pPr/>
    <w:rPr>
      <w:b/>
      <w:bCs/>
      <w:color w:val="9B3D2F"/>
    </w:rPr>
  </w:style>
  <w:style w:type="paragraph" w:styleId="BodyTextwindow">
    <w:name w:val="Body Text.window"/>
    <w:basedOn w:val="BodyText"/>
    <w:qFormat/>
    <w:pPr>
      <w:spacing w:before="120" w:after="120"/>
    </w:pPr>
    <w:rPr>
      <w:i/>
      <w:iCs/>
      <w:color w:val="53656D"/>
    </w:rPr>
  </w:style>
  <w:style w:type="paragraph" w:styleId="BodyTextrunningtitle">
    <w:name w:val="Body Text.runningtitle"/>
    <w:basedOn w:val="BodyText"/>
    <w:qFormat/>
    <w:pPr>
      <w:pBdr>
        <w:bottom w:val="single" w:sz="2" w:space="4" w:color="C49A5A"/>
      </w:pBdr>
      <w:spacing w:before="120" w:after="320"/>
    </w:pPr>
    <w:rPr>
      <w:b/>
      <w:bCs/>
      <w:color w:val="64767D"/>
      <w:spacing w:val="20"/>
      <w:sz w:val="17"/>
      <w:szCs w:val="17"/>
    </w:rPr>
  </w:style>
  <w:style w:type="paragraph" w:styleId="BodyTextnotice">
    <w:name w:val="Body Text.notice"/>
    <w:basedOn w:val="BodyText"/>
    <w:qFormat/>
    <w:pPr>
      <w:pBdr>
        <w:top w:val="single" w:sz="2" w:space="10" w:color="D9AD55"/>
        <w:left w:val="single" w:sz="2" w:space="10" w:color="D9AD55"/>
        <w:bottom w:val="single" w:sz="2" w:space="10" w:color="D9AD55"/>
        <w:right w:val="single" w:sz="2" w:space="10" w:color="D9AD55"/>
      </w:pBdr>
      <w:shd w:fill="FFF5D9" w:val="clear"/>
      <w:spacing w:before="240" w:after="400"/>
      <w:ind w:start="240" w:end="240"/>
    </w:pPr>
    <w:rPr/>
  </w:style>
  <w:style w:type="paragraph" w:styleId="TableHeading">
    <w:name w:val="Table Heading"/>
    <w:basedOn w:val="TableContents"/>
    <w:qFormat/>
    <w:pPr>
      <w:suppressLineNumbers/>
      <w:shd w:fill="133B4A" w:val="clear"/>
      <w:jc w:val="start"/>
    </w:pPr>
    <w:rPr>
      <w:b/>
      <w:bCs/>
      <w:color w:val="FFFFFF"/>
    </w:rPr>
  </w:style>
  <w:style w:type="paragraph" w:styleId="BodyTextemphasis">
    <w:name w:val="Body Text.emphasis"/>
    <w:basedOn w:val="BodyText"/>
    <w:qFormat/>
    <w:pPr>
      <w:pBdr>
        <w:left w:val="single" w:sz="24" w:space="8" w:color="2E6F80"/>
      </w:pBdr>
      <w:shd w:fill="EAF2F4" w:val="clear"/>
    </w:pPr>
    <w:rPr/>
  </w:style>
  <w:style w:type="paragraph" w:styleId="BodyTextend">
    <w:name w:val="Body Text.end"/>
    <w:basedOn w:val="BodyText"/>
    <w:qFormat/>
    <w:pPr>
      <w:spacing w:before="600" w:after="120"/>
      <w:jc w:val="center"/>
    </w:pPr>
    <w:rPr>
      <w:i/>
      <w:iCs/>
      <w:color w:val="666677"/>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cover.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Talosai Case Study: Silicon Valley Bank and the March 2023 Collapse</dc:title>
</cp:coreProperties>
</file>

<file path=docProps/custom.xml><?xml version="1.0" encoding="utf-8"?>
<Properties xmlns="http://schemas.openxmlformats.org/officeDocument/2006/custom-properties" xmlns:vt="http://schemas.openxmlformats.org/officeDocument/2006/docPropsVTypes"/>
</file>